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pPr>
    </w:p>
    <w:p>
      <w:pPr>
        <w:jc w:val="center"/>
      </w:pPr>
      <w:r>
        <w:rPr>
          <w:rFonts w:ascii="Times New Roman" w:hAnsi="Times New Roman"/>
          <w:b/>
          <w:sz w:val="28"/>
          <w:szCs w:val="28"/>
        </w:rPr>
        <w:drawing>
          <wp:inline distT="0" distB="0" distL="0" distR="0">
            <wp:extent cx="1914525" cy="914400"/>
            <wp:effectExtent l="0" t="0" r="9525"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noChangeArrowheads="1"/>
                    </pic:cNvPicPr>
                  </pic:nvPicPr>
                  <pic:blipFill>
                    <a:blip r:embed="rId8" cstate="print"/>
                    <a:srcRect/>
                    <a:stretch>
                      <a:fillRect/>
                    </a:stretch>
                  </pic:blipFill>
                  <pic:spPr>
                    <a:xfrm>
                      <a:off x="0" y="0"/>
                      <a:ext cx="1914525" cy="914400"/>
                    </a:xfrm>
                    <a:prstGeom prst="rect">
                      <a:avLst/>
                    </a:prstGeom>
                    <a:noFill/>
                    <a:ln w="9525">
                      <a:noFill/>
                      <a:miter lim="800000"/>
                      <a:headEnd/>
                      <a:tailEnd/>
                    </a:ln>
                  </pic:spPr>
                </pic:pic>
              </a:graphicData>
            </a:graphic>
          </wp:inline>
        </w:drawing>
      </w:r>
    </w:p>
    <w:p/>
    <w:p/>
    <w:p>
      <w:pPr>
        <w:jc w:val="center"/>
        <w:rPr>
          <w:rFonts w:ascii="方正小标宋_GBK" w:eastAsia="方正小标宋_GBK"/>
          <w:b/>
          <w:sz w:val="56"/>
          <w:szCs w:val="72"/>
        </w:rPr>
      </w:pPr>
      <w:r>
        <w:rPr>
          <w:rFonts w:hint="eastAsia" w:ascii="方正小标宋_GBK" w:eastAsia="方正小标宋_GBK"/>
          <w:b/>
          <w:sz w:val="56"/>
          <w:szCs w:val="72"/>
        </w:rPr>
        <w:t>201</w:t>
      </w:r>
      <w:r>
        <w:rPr>
          <w:rFonts w:ascii="方正小标宋_GBK" w:eastAsia="方正小标宋_GBK"/>
          <w:b/>
          <w:sz w:val="56"/>
          <w:szCs w:val="72"/>
        </w:rPr>
        <w:t>7</w:t>
      </w:r>
      <w:r>
        <w:rPr>
          <w:rFonts w:hint="eastAsia" w:ascii="方正小标宋_GBK" w:eastAsia="方正小标宋_GBK"/>
          <w:b/>
          <w:sz w:val="56"/>
          <w:szCs w:val="72"/>
        </w:rPr>
        <w:t>年度企业质量信用报告</w:t>
      </w:r>
    </w:p>
    <w:p>
      <w:pPr>
        <w:jc w:val="center"/>
        <w:rPr>
          <w:rFonts w:ascii="方正小标宋_GBK" w:eastAsia="方正小标宋_GBK"/>
          <w:b/>
          <w:sz w:val="56"/>
          <w:szCs w:val="72"/>
        </w:rPr>
      </w:pPr>
    </w:p>
    <w:p>
      <w:pPr>
        <w:jc w:val="center"/>
        <w:rPr>
          <w:rFonts w:ascii="方正小标宋_GBK" w:eastAsia="方正小标宋_GBK"/>
          <w:b/>
          <w:sz w:val="56"/>
          <w:szCs w:val="72"/>
        </w:rPr>
      </w:pPr>
    </w:p>
    <w:p>
      <w:pPr>
        <w:jc w:val="center"/>
        <w:rPr>
          <w:rFonts w:ascii="方正小标宋_GBK" w:eastAsia="方正小标宋_GBK"/>
          <w:b/>
          <w:sz w:val="56"/>
          <w:szCs w:val="72"/>
        </w:rPr>
      </w:pPr>
      <w:r>
        <w:drawing>
          <wp:inline distT="0" distB="0" distL="0" distR="0">
            <wp:extent cx="5121910" cy="3086100"/>
            <wp:effectExtent l="76200" t="76200" r="2540" b="0"/>
            <wp:docPr id="143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9"/>
                    <pic:cNvPicPr>
                      <a:picLocks noChangeAspect="1"/>
                    </pic:cNvPicPr>
                  </pic:nvPicPr>
                  <pic:blipFill>
                    <a:blip r:embed="rId9"/>
                    <a:srcRect t="5327" r="-1067" b="8962"/>
                    <a:stretch>
                      <a:fillRect/>
                    </a:stretch>
                  </pic:blipFill>
                  <pic:spPr>
                    <a:xfrm>
                      <a:off x="0" y="0"/>
                      <a:ext cx="5121910" cy="3086100"/>
                    </a:xfrm>
                    <a:prstGeom prst="rect">
                      <a:avLst/>
                    </a:prstGeom>
                    <a:noFill/>
                    <a:ln>
                      <a:noFill/>
                    </a:ln>
                    <a:effectLst>
                      <a:prstShdw prst="shdw13" dist="53882" dir="13499999">
                        <a:srgbClr val="E7E6E6">
                          <a:alpha val="50000"/>
                        </a:srgbClr>
                      </a:prstShdw>
                    </a:effectLst>
                  </pic:spPr>
                </pic:pic>
              </a:graphicData>
            </a:graphic>
          </wp:inline>
        </w:drawing>
      </w:r>
    </w:p>
    <w:p/>
    <w:p/>
    <w:p/>
    <w:p/>
    <w:p>
      <w:pPr>
        <w:jc w:val="center"/>
        <w:rPr>
          <w:rFonts w:ascii="黑体" w:hAnsi="黑体" w:eastAsia="黑体"/>
          <w:b/>
          <w:sz w:val="36"/>
        </w:rPr>
      </w:pPr>
      <w:r>
        <w:rPr>
          <w:rFonts w:hint="eastAsia" w:ascii="黑体" w:hAnsi="黑体" w:eastAsia="黑体"/>
          <w:b/>
          <w:sz w:val="36"/>
        </w:rPr>
        <w:t>青岛华烁高科新能源技术有限公司</w:t>
      </w:r>
    </w:p>
    <w:p>
      <w:pPr>
        <w:jc w:val="center"/>
        <w:rPr>
          <w:rFonts w:ascii="Times New Roman" w:hAnsi="Times New Roman" w:eastAsia="黑体" w:cs="Times New Roman"/>
          <w:b/>
          <w:sz w:val="28"/>
        </w:rPr>
      </w:pPr>
      <w:r>
        <w:rPr>
          <w:rFonts w:ascii="Times New Roman" w:hAnsi="Times New Roman" w:eastAsia="黑体" w:cs="Times New Roman"/>
          <w:b/>
          <w:sz w:val="28"/>
        </w:rPr>
        <w:t>Qingdao Huashuo Gaoke New Energy Technology Co.,LTD.</w:t>
      </w:r>
    </w:p>
    <w:p>
      <w:pPr>
        <w:jc w:val="center"/>
        <w:rPr>
          <w:rFonts w:cs="Times New Roman" w:asciiTheme="majorEastAsia" w:hAnsiTheme="majorEastAsia" w:eastAsiaTheme="majorEastAsia"/>
          <w:b/>
          <w:sz w:val="36"/>
        </w:rPr>
        <w:sectPr>
          <w:headerReference r:id="rId3" w:type="default"/>
          <w:footerReference r:id="rId4" w:type="default"/>
          <w:pgSz w:w="11906" w:h="16838"/>
          <w:pgMar w:top="1440" w:right="1800" w:bottom="1440" w:left="1800" w:header="851" w:footer="850" w:gutter="0"/>
          <w:pgNumType w:start="1"/>
          <w:cols w:space="425" w:num="1"/>
          <w:titlePg/>
          <w:docGrid w:type="lines" w:linePitch="312" w:charSpace="0"/>
        </w:sectPr>
      </w:pPr>
    </w:p>
    <w:p>
      <w:pPr>
        <w:jc w:val="center"/>
        <w:rPr>
          <w:rFonts w:cs="Times New Roman" w:asciiTheme="majorEastAsia" w:hAnsiTheme="majorEastAsia" w:eastAsiaTheme="majorEastAsia"/>
          <w:b/>
          <w:sz w:val="36"/>
        </w:rPr>
      </w:pPr>
    </w:p>
    <w:p>
      <w:pPr>
        <w:jc w:val="center"/>
        <w:outlineLvl w:val="0"/>
        <w:rPr>
          <w:rFonts w:cs="Times New Roman" w:asciiTheme="majorEastAsia" w:hAnsiTheme="majorEastAsia" w:eastAsiaTheme="majorEastAsia"/>
          <w:b/>
          <w:sz w:val="36"/>
        </w:rPr>
      </w:pPr>
      <w:r>
        <w:rPr>
          <w:rFonts w:hint="eastAsia" w:cs="Times New Roman" w:asciiTheme="majorEastAsia" w:hAnsiTheme="majorEastAsia" w:eastAsiaTheme="majorEastAsia"/>
          <w:b/>
          <w:sz w:val="36"/>
        </w:rPr>
        <w:t>第一部分  报告前言</w:t>
      </w:r>
    </w:p>
    <w:p/>
    <w:p>
      <w:pPr>
        <w:pStyle w:val="9"/>
        <w:numPr>
          <w:ilvl w:val="0"/>
          <w:numId w:val="1"/>
        </w:numPr>
        <w:ind w:firstLineChars="0"/>
        <w:outlineLvl w:val="1"/>
        <w:rPr>
          <w:rFonts w:asciiTheme="minorEastAsia" w:hAnsiTheme="minorEastAsia"/>
          <w:b/>
          <w:sz w:val="28"/>
        </w:rPr>
      </w:pPr>
      <w:r>
        <w:rPr>
          <w:rFonts w:hint="eastAsia" w:asciiTheme="minorEastAsia" w:hAnsiTheme="minorEastAsia"/>
          <w:b/>
          <w:sz w:val="28"/>
        </w:rPr>
        <w:t xml:space="preserve">报告编制规范 </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本公司保证报告所公布的质量诚信体系建设情况不存在任何误导性陈述及虚假情况，并对其内容的客观性、真实性负责。</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报告组织范围：</w:t>
      </w:r>
      <w:r>
        <w:rPr>
          <w:rFonts w:hint="eastAsia" w:ascii="Times New Roman" w:hAnsi="Times New Roman" w:cs="Times New Roman"/>
          <w:sz w:val="24"/>
          <w:szCs w:val="24"/>
        </w:rPr>
        <w:t>青岛华烁高科新能源技术有限公司</w:t>
      </w:r>
      <w:r>
        <w:rPr>
          <w:rFonts w:ascii="Times New Roman" w:hAnsi="Times New Roman" w:cs="Times New Roman"/>
          <w:sz w:val="24"/>
          <w:szCs w:val="24"/>
        </w:rPr>
        <w:t xml:space="preserve"> </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报告时间范围：2017 年 1 月</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2017 年 12 月 </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报告发布周期：1 次/年 </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报告数据说明：报告内所涉及数据来源于公司，数据真实、有效 </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报告获取方式：公司将以</w:t>
      </w:r>
      <w:r>
        <w:rPr>
          <w:rFonts w:hint="eastAsia" w:ascii="Times New Roman" w:hAnsi="Times New Roman" w:cs="Times New Roman"/>
          <w:sz w:val="24"/>
          <w:szCs w:val="24"/>
        </w:rPr>
        <w:t>青岛华烁高科新能源技术有限公司</w:t>
      </w:r>
      <w:r>
        <w:rPr>
          <w:rFonts w:ascii="Times New Roman" w:hAnsi="Times New Roman" w:cs="Times New Roman"/>
          <w:sz w:val="24"/>
          <w:szCs w:val="24"/>
        </w:rPr>
        <w:t>官网为载体，展现《企业质量信用报告》，并供下载阅读</w:t>
      </w:r>
      <w:r>
        <w:rPr>
          <w:rFonts w:hint="eastAsia" w:ascii="Times New Roman" w:hAnsi="Times New Roman" w:cs="Times New Roman"/>
          <w:sz w:val="24"/>
          <w:szCs w:val="24"/>
        </w:rPr>
        <w:t>。</w:t>
      </w:r>
    </w:p>
    <w:p/>
    <w:p>
      <w:pPr>
        <w:pStyle w:val="9"/>
        <w:numPr>
          <w:ilvl w:val="0"/>
          <w:numId w:val="1"/>
        </w:numPr>
        <w:adjustRightInd w:val="0"/>
        <w:snapToGrid w:val="0"/>
        <w:spacing w:line="360" w:lineRule="auto"/>
        <w:ind w:firstLineChars="0"/>
        <w:outlineLvl w:val="1"/>
        <w:rPr>
          <w:rFonts w:asciiTheme="minorEastAsia" w:hAnsiTheme="minorEastAsia"/>
          <w:b/>
          <w:sz w:val="28"/>
        </w:rPr>
      </w:pPr>
      <w:r>
        <w:rPr>
          <w:rFonts w:hint="eastAsia" w:asciiTheme="minorEastAsia" w:hAnsiTheme="minorEastAsia"/>
          <w:b/>
          <w:sz w:val="28"/>
        </w:rPr>
        <w:t>企业高层致辞</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尊敬的各界朋友：</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青岛华烁高科新能源技术有限公司是国内技术领先的新能源产品供应商,专注于从事新能源电动汽车充电系统、车载充电系统、新能源光伏光热系列产品、智能电网系列产品、智能物联网、互联网、微电网技术的持续研发和应用拓展。 </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公司以国家战略发展为原动力，聚焦行业，高效创新，以精诚的产品为保证，以完善的服务为依托，与顾客携手共增值！建立具有责任意识、创新精神、敬业进取、和谐共赢的企业文化。以顾客为中心，追求卓越的产品，为顾客创造价值</w:t>
      </w:r>
      <w:r>
        <w:rPr>
          <w:rFonts w:hint="eastAsia" w:cs="Times New Roman" w:asciiTheme="minorEastAsia" w:hAnsiTheme="minorEastAsia"/>
          <w:sz w:val="24"/>
          <w:szCs w:val="24"/>
        </w:rPr>
        <w:t>。</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 xml:space="preserve">我们将持续深入研发新能源产品，不断创新，致力于建立专业品牌形象，成为市场的先行者和客户的成长伙伴，为客户提供优质的产品和服务，帮助您永远领先一步。     </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展望未来，华烁高科新能源技术有限公司将努力成为全球电动汽车充电站整体解决方案和设备供应商，在这个充满机遇和挑战的新经济时代，华烁高科将以市场为导向，以人才为根本，以技术为支撑，以资本为纽带，打造一个实力雄厚、核心竞争力强大的国际化企业。</w:t>
      </w:r>
    </w:p>
    <w:p>
      <w:pPr>
        <w:spacing w:line="360" w:lineRule="auto"/>
        <w:ind w:firstLine="480" w:firstLineChars="200"/>
        <w:jc w:val="right"/>
        <w:rPr>
          <w:rFonts w:hint="eastAsia" w:cs="Times New Roman" w:asciiTheme="minorEastAsia" w:hAnsiTheme="minorEastAsia"/>
          <w:sz w:val="24"/>
          <w:szCs w:val="24"/>
        </w:rPr>
      </w:pPr>
      <w:r>
        <w:rPr>
          <w:rFonts w:hint="eastAsia" w:cs="Times New Roman" w:asciiTheme="minorEastAsia" w:hAnsiTheme="minorEastAsia"/>
          <w:sz w:val="24"/>
          <w:szCs w:val="24"/>
        </w:rPr>
        <w:t xml:space="preserve">青岛华烁高科新能源技术有限公司董事长 </w:t>
      </w:r>
      <w:r>
        <w:rPr>
          <w:rFonts w:cs="Times New Roman" w:asciiTheme="minorEastAsia" w:hAnsiTheme="minorEastAsia"/>
          <w:sz w:val="24"/>
          <w:szCs w:val="24"/>
        </w:rPr>
        <w:t xml:space="preserve"> </w:t>
      </w:r>
      <w:r>
        <w:rPr>
          <w:rFonts w:hint="eastAsia" w:cs="Times New Roman" w:asciiTheme="minorEastAsia" w:hAnsiTheme="minorEastAsia"/>
          <w:sz w:val="24"/>
          <w:szCs w:val="24"/>
        </w:rPr>
        <w:t>于斌</w:t>
      </w:r>
    </w:p>
    <w:p>
      <w:pPr>
        <w:pStyle w:val="9"/>
        <w:numPr>
          <w:ilvl w:val="0"/>
          <w:numId w:val="1"/>
        </w:numPr>
        <w:ind w:firstLineChars="0"/>
        <w:outlineLvl w:val="1"/>
        <w:rPr>
          <w:rFonts w:asciiTheme="minorEastAsia" w:hAnsiTheme="minorEastAsia"/>
          <w:b/>
          <w:sz w:val="28"/>
        </w:rPr>
      </w:pPr>
      <w:r>
        <w:rPr>
          <w:rFonts w:hint="eastAsia" w:asciiTheme="minorEastAsia" w:hAnsiTheme="minorEastAsia"/>
          <w:b/>
          <w:sz w:val="28"/>
        </w:rPr>
        <w:t>企业简介</w:t>
      </w:r>
    </w:p>
    <w:p>
      <w:pPr>
        <w:spacing w:line="360" w:lineRule="auto"/>
        <w:ind w:firstLine="480" w:firstLineChars="200"/>
        <w:rPr>
          <w:sz w:val="24"/>
          <w:szCs w:val="28"/>
        </w:rPr>
      </w:pPr>
      <w:r>
        <w:rPr>
          <w:rFonts w:hint="eastAsia"/>
          <w:sz w:val="24"/>
          <w:szCs w:val="28"/>
        </w:rPr>
        <w:t>青岛华烁高科新能源技术有限公司成立于2014年12月29日，注册资金壹亿元，是国内技术领先的新能源产品供应商，专注于从事新能源电动汽车充电系统、汽车关键零部件系列产品、新能源光伏光热系列产品、智能电网系列产品、智能物联网、互联网、微电网技术的持续研发和应用拓展。</w:t>
      </w:r>
    </w:p>
    <w:p>
      <w:pPr>
        <w:spacing w:line="360" w:lineRule="auto"/>
        <w:jc w:val="left"/>
        <w:rPr>
          <w:sz w:val="24"/>
          <w:szCs w:val="28"/>
        </w:rPr>
      </w:pPr>
      <w:r>
        <w:rPr>
          <w:sz w:val="20"/>
        </w:rPr>
        <w:drawing>
          <wp:inline distT="0" distB="0" distL="0" distR="0">
            <wp:extent cx="5286375" cy="2066925"/>
            <wp:effectExtent l="0" t="0" r="9525" b="9525"/>
            <wp:docPr id="4" name="图片 4" descr="http://www.huashuochina.com/images/201503271121275312_5910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huashuochina.com/images/201503271121275312_591016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86375" cy="2066925"/>
                    </a:xfrm>
                    <a:prstGeom prst="rect">
                      <a:avLst/>
                    </a:prstGeom>
                    <a:noFill/>
                    <a:ln>
                      <a:noFill/>
                    </a:ln>
                  </pic:spPr>
                </pic:pic>
              </a:graphicData>
            </a:graphic>
          </wp:inline>
        </w:drawing>
      </w:r>
    </w:p>
    <w:p>
      <w:pPr>
        <w:spacing w:line="360" w:lineRule="auto"/>
        <w:rPr>
          <w:sz w:val="24"/>
          <w:szCs w:val="28"/>
        </w:rPr>
      </w:pPr>
      <w:r>
        <w:rPr>
          <w:rFonts w:hint="eastAsia"/>
          <w:sz w:val="24"/>
          <w:szCs w:val="28"/>
        </w:rPr>
        <w:t xml:space="preserve"> </w:t>
      </w:r>
      <w:r>
        <w:rPr>
          <w:sz w:val="24"/>
          <w:szCs w:val="28"/>
        </w:rPr>
        <w:t xml:space="preserve">   </w:t>
      </w:r>
      <w:r>
        <w:rPr>
          <w:rFonts w:hint="eastAsia"/>
          <w:sz w:val="24"/>
          <w:szCs w:val="28"/>
        </w:rPr>
        <w:t>华烁高科是国家高新技术企业，也是中国电子商会常务理事单位，中国电子商会智能电动车专委会副理事长单位。公司在2016年被评为电动汽车充电桩十佳龙头企业，2017年获得工信部颁发的电子信息业“飞马奖”，得到了国家、行业相关机构的一致认可。</w:t>
      </w:r>
    </w:p>
    <w:p>
      <w:pPr>
        <w:adjustRightInd w:val="0"/>
        <w:snapToGrid w:val="0"/>
        <w:spacing w:line="360" w:lineRule="auto"/>
        <w:ind w:firstLine="400" w:firstLineChars="200"/>
        <w:rPr>
          <w:rFonts w:hint="eastAsia"/>
          <w:sz w:val="24"/>
          <w:szCs w:val="28"/>
        </w:rPr>
      </w:pPr>
      <w:r>
        <w:rPr>
          <w:sz w:val="20"/>
        </w:rPr>
        <w:drawing>
          <wp:anchor distT="0" distB="0" distL="0" distR="0" simplePos="0" relativeHeight="251661312" behindDoc="0" locked="0" layoutInCell="1" allowOverlap="1">
            <wp:simplePos x="0" y="0"/>
            <wp:positionH relativeFrom="margin">
              <wp:align>right</wp:align>
            </wp:positionH>
            <wp:positionV relativeFrom="paragraph">
              <wp:posOffset>2019300</wp:posOffset>
            </wp:positionV>
            <wp:extent cx="5267325" cy="1704975"/>
            <wp:effectExtent l="0" t="0" r="9525" b="9525"/>
            <wp:wrapSquare wrapText="bothSides"/>
            <wp:docPr id="3" name="图片 3" descr="http://www.huashuochina.com/images/201503271122375156_2059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huashuochina.com/images/201503271122375156_20598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7325" cy="1704975"/>
                    </a:xfrm>
                    <a:prstGeom prst="rect">
                      <a:avLst/>
                    </a:prstGeom>
                    <a:noFill/>
                    <a:ln>
                      <a:noFill/>
                    </a:ln>
                  </pic:spPr>
                </pic:pic>
              </a:graphicData>
            </a:graphic>
          </wp:anchor>
        </w:drawing>
      </w:r>
      <w:r>
        <w:rPr>
          <w:rFonts w:hint="eastAsia"/>
          <w:sz w:val="24"/>
          <w:szCs w:val="28"/>
        </w:rPr>
        <w:t>公司以国家战略发展为源动力，聚焦行业，高效创新，以精诚的产品为保证，以完善的服务为依托，与客户携手共增值！建立具有责任意识、创新精神、敬业进取、和谐共赢的企业文化。公司先后通过了ISO9001质量管理体系认证、ISO14001环境管理体系认证、OHSAS18001职业健康安全管理体系以及汽车行业IATF16949管理体系认证。华烁高科公司以可靠的产品设计、殷实的科学管理、完善的质量保证手段，为顾客提供卓越的产品和服务以顾客为中心，为顾客创造价值。</w:t>
      </w:r>
    </w:p>
    <w:p>
      <w:pPr>
        <w:adjustRightInd w:val="0"/>
        <w:snapToGrid w:val="0"/>
        <w:spacing w:line="360" w:lineRule="auto"/>
        <w:ind w:firstLine="480" w:firstLineChars="200"/>
        <w:rPr>
          <w:sz w:val="24"/>
          <w:szCs w:val="28"/>
        </w:rPr>
      </w:pPr>
      <w:r>
        <w:rPr>
          <w:rFonts w:hint="eastAsia"/>
          <w:sz w:val="24"/>
          <w:szCs w:val="28"/>
        </w:rPr>
        <w:t>公司秉承“引领科技，创造未来”的宗旨，通过持续的技术创新和新技术新产品的推广应用促进企业的可持续发展。公司拥有一批高、中级工程师组成的高素质的研发团队，具有强大的技术开发实力和丰富的行业经验，在坚持自主创新的同时，积极开展广泛的产学研合作，先后与多家知名院所建立产学研战略联盟，为公司研发产品的先进性和可靠性提供了保障。覆盖全国范围的营销和技术服务网络为客户提供优质及时的服务。公司将持续研发创新产品，成为新能源市场的领航者和客户的成长伙伴，为客户提供优质的产品和服务，携手客户共增值</w:t>
      </w:r>
      <w:r>
        <w:rPr>
          <w:rFonts w:hint="eastAsia"/>
          <w:sz w:val="28"/>
          <w:szCs w:val="28"/>
        </w:rPr>
        <w:t>！</w:t>
      </w:r>
    </w:p>
    <w:p>
      <w:pPr>
        <w:adjustRightInd w:val="0"/>
        <w:snapToGrid w:val="0"/>
        <w:spacing w:line="360" w:lineRule="auto"/>
        <w:rPr>
          <w:rFonts w:hint="eastAsia"/>
          <w:sz w:val="24"/>
          <w:szCs w:val="28"/>
        </w:rPr>
      </w:pPr>
      <w:r>
        <w:drawing>
          <wp:anchor distT="0" distB="0" distL="114300" distR="114300" simplePos="0" relativeHeight="251662336" behindDoc="0" locked="0" layoutInCell="1" allowOverlap="1">
            <wp:simplePos x="0" y="0"/>
            <wp:positionH relativeFrom="column">
              <wp:posOffset>657225</wp:posOffset>
            </wp:positionH>
            <wp:positionV relativeFrom="paragraph">
              <wp:posOffset>35560</wp:posOffset>
            </wp:positionV>
            <wp:extent cx="3838575" cy="2124075"/>
            <wp:effectExtent l="0" t="0" r="9525" b="9525"/>
            <wp:wrapSquare wrapText="bothSides"/>
            <wp:docPr id="9" name="图片 9" descr="http://www.huashuochina.com/images/201701221537159531_4321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huashuochina.com/images/201701221537159531_432136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38575" cy="2124075"/>
                    </a:xfrm>
                    <a:prstGeom prst="rect">
                      <a:avLst/>
                    </a:prstGeom>
                    <a:noFill/>
                    <a:ln>
                      <a:noFill/>
                    </a:ln>
                  </pic:spPr>
                </pic:pic>
              </a:graphicData>
            </a:graphic>
          </wp:anchor>
        </w:drawing>
      </w:r>
      <w:r>
        <w:t xml:space="preserve"> </w:t>
      </w:r>
    </w:p>
    <w:p>
      <w:pPr>
        <w:widowControl/>
        <w:adjustRightInd w:val="0"/>
        <w:snapToGrid w:val="0"/>
        <w:spacing w:line="360" w:lineRule="auto"/>
        <w:ind w:firstLine="200"/>
        <w:jc w:val="left"/>
        <w:rPr>
          <w:rFonts w:hint="eastAsia"/>
          <w:sz w:val="28"/>
          <w:szCs w:val="28"/>
        </w:rPr>
      </w:pPr>
      <w:r>
        <w:rPr>
          <w:sz w:val="28"/>
          <w:szCs w:val="28"/>
        </w:rPr>
        <w:br w:type="page"/>
      </w:r>
    </w:p>
    <w:p>
      <w:pPr>
        <w:jc w:val="both"/>
        <w:rPr>
          <w:rFonts w:hint="eastAsia" w:asciiTheme="minorEastAsia" w:hAnsiTheme="minorEastAsia" w:eastAsiaTheme="minorEastAsia" w:cstheme="minorEastAsia"/>
          <w:sz w:val="24"/>
          <w:szCs w:val="24"/>
        </w:rPr>
      </w:pPr>
    </w:p>
    <w:sdt>
      <w:sdtPr>
        <w:rPr>
          <w:rFonts w:ascii="宋体" w:hAnsi="宋体" w:eastAsia="宋体" w:cstheme="minorBidi"/>
          <w:b/>
          <w:bCs/>
          <w:kern w:val="2"/>
          <w:sz w:val="40"/>
          <w:szCs w:val="44"/>
          <w:lang w:val="en-US" w:eastAsia="zh-CN" w:bidi="ar-SA"/>
        </w:rPr>
        <w:id w:val="147465307"/>
        <w:docPartObj>
          <w:docPartGallery w:val="Table of Contents"/>
          <w:docPartUnique/>
        </w:docPartObj>
      </w:sdtPr>
      <w:sdtEndPr>
        <w:rPr>
          <w:rFonts w:ascii="宋体" w:hAnsi="宋体" w:eastAsia="宋体" w:cstheme="minorBidi"/>
          <w:b/>
          <w:bCs/>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sz w:val="40"/>
              <w:szCs w:val="44"/>
            </w:rPr>
          </w:pPr>
          <w:bookmarkStart w:id="0" w:name="_Toc18465_WPSOffice_Type3"/>
          <w:r>
            <w:rPr>
              <w:rFonts w:ascii="宋体" w:hAnsi="宋体" w:eastAsia="宋体"/>
              <w:b/>
              <w:bCs/>
              <w:sz w:val="40"/>
              <w:szCs w:val="44"/>
            </w:rPr>
            <w:t>目</w:t>
          </w:r>
          <w:r>
            <w:rPr>
              <w:rFonts w:hint="eastAsia" w:ascii="宋体" w:hAnsi="宋体" w:eastAsia="宋体"/>
              <w:b/>
              <w:bCs/>
              <w:sz w:val="40"/>
              <w:szCs w:val="44"/>
              <w:lang w:val="en-US" w:eastAsia="zh-CN"/>
            </w:rPr>
            <w:t xml:space="preserve">  </w:t>
          </w:r>
          <w:r>
            <w:rPr>
              <w:rFonts w:ascii="宋体" w:hAnsi="宋体" w:eastAsia="宋体"/>
              <w:b/>
              <w:bCs/>
              <w:sz w:val="40"/>
              <w:szCs w:val="44"/>
            </w:rPr>
            <w:t>录</w:t>
          </w:r>
        </w:p>
        <w:p>
          <w:pPr>
            <w:spacing w:before="0" w:beforeLines="0" w:after="0" w:afterLines="0" w:line="240" w:lineRule="auto"/>
            <w:ind w:left="0" w:leftChars="0" w:right="0" w:rightChars="0" w:firstLine="0" w:firstLineChars="0"/>
            <w:jc w:val="both"/>
            <w:rPr>
              <w:rFonts w:ascii="宋体" w:hAnsi="宋体" w:eastAsia="宋体"/>
              <w:sz w:val="21"/>
            </w:rPr>
          </w:pPr>
        </w:p>
        <w:p>
          <w:pPr>
            <w:pStyle w:val="12"/>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rPr>
              <w:b/>
              <w:bCs/>
              <w:sz w:val="22"/>
              <w:szCs w:val="22"/>
            </w:rPr>
          </w:pPr>
          <w:r>
            <w:rPr>
              <w:b/>
              <w:bCs/>
              <w:sz w:val="22"/>
              <w:szCs w:val="22"/>
            </w:rPr>
            <w:fldChar w:fldCharType="begin"/>
          </w:r>
          <w:r>
            <w:rPr>
              <w:b/>
              <w:bCs/>
              <w:sz w:val="22"/>
              <w:szCs w:val="22"/>
            </w:rPr>
            <w:instrText xml:space="preserve"> HYPERLINK \l _Toc548_WPSOffice_Level1 </w:instrText>
          </w:r>
          <w:r>
            <w:rPr>
              <w:b/>
              <w:bCs/>
              <w:sz w:val="22"/>
              <w:szCs w:val="22"/>
            </w:rPr>
            <w:fldChar w:fldCharType="separate"/>
          </w:r>
          <w:sdt>
            <w:sdtPr>
              <w:rPr>
                <w:rFonts w:asciiTheme="minorHAnsi" w:hAnsiTheme="minorHAnsi" w:eastAsiaTheme="minorEastAsia" w:cstheme="minorBidi"/>
                <w:b/>
                <w:bCs/>
                <w:kern w:val="2"/>
                <w:sz w:val="24"/>
                <w:szCs w:val="28"/>
                <w:lang w:val="en-US" w:eastAsia="zh-CN" w:bidi="ar-SA"/>
              </w:rPr>
              <w:id w:val="147465307"/>
              <w:placeholder>
                <w:docPart w:val="{4d31ce16-6db5-4c2d-bfa1-29d47dcd8a71}"/>
              </w:placeholder>
            </w:sdtPr>
            <w:sdtEndPr>
              <w:rPr>
                <w:rFonts w:asciiTheme="minorHAnsi" w:hAnsiTheme="minorHAnsi" w:eastAsiaTheme="minorEastAsia" w:cstheme="minorBidi"/>
                <w:b/>
                <w:bCs/>
                <w:kern w:val="2"/>
                <w:sz w:val="24"/>
                <w:szCs w:val="28"/>
                <w:lang w:val="en-US" w:eastAsia="zh-CN" w:bidi="ar-SA"/>
              </w:rPr>
            </w:sdtEndPr>
            <w:sdtContent>
              <w:r>
                <w:rPr>
                  <w:rFonts w:hint="eastAsia" w:cs="Times New Roman" w:asciiTheme="majorEastAsia" w:hAnsiTheme="majorEastAsia" w:eastAsiaTheme="majorEastAsia"/>
                  <w:b/>
                  <w:bCs/>
                  <w:sz w:val="22"/>
                  <w:szCs w:val="22"/>
                </w:rPr>
                <w:t>第</w:t>
              </w:r>
              <w:r>
                <w:rPr>
                  <w:rFonts w:hint="eastAsia" w:cs="Times New Roman" w:asciiTheme="majorEastAsia" w:hAnsiTheme="majorEastAsia" w:eastAsiaTheme="majorEastAsia"/>
                  <w:b/>
                  <w:bCs/>
                  <w:sz w:val="22"/>
                  <w:szCs w:val="22"/>
                  <w:lang w:eastAsia="zh-CN"/>
                </w:rPr>
                <w:t>一</w:t>
              </w:r>
              <w:r>
                <w:rPr>
                  <w:rFonts w:hint="eastAsia" w:cs="Times New Roman" w:asciiTheme="majorEastAsia" w:hAnsiTheme="majorEastAsia" w:eastAsiaTheme="majorEastAsia"/>
                  <w:b/>
                  <w:bCs/>
                  <w:sz w:val="22"/>
                  <w:szCs w:val="22"/>
                </w:rPr>
                <w:t>部分  报告</w:t>
              </w:r>
              <w:r>
                <w:rPr>
                  <w:rFonts w:hint="eastAsia" w:cs="Times New Roman" w:asciiTheme="majorEastAsia" w:hAnsiTheme="majorEastAsia" w:eastAsiaTheme="majorEastAsia"/>
                  <w:b/>
                  <w:bCs/>
                  <w:sz w:val="22"/>
                  <w:szCs w:val="22"/>
                  <w:lang w:eastAsia="zh-CN"/>
                </w:rPr>
                <w:t>前言</w:t>
              </w:r>
            </w:sdtContent>
          </w:sdt>
          <w:r>
            <w:rPr>
              <w:b/>
              <w:bCs/>
              <w:sz w:val="22"/>
              <w:szCs w:val="22"/>
            </w:rPr>
            <w:tab/>
          </w:r>
          <w:r>
            <w:rPr>
              <w:rFonts w:hint="eastAsia"/>
              <w:b/>
              <w:bCs/>
              <w:sz w:val="22"/>
              <w:szCs w:val="22"/>
              <w:lang w:val="en-US" w:eastAsia="zh-CN"/>
            </w:rPr>
            <w:t>1</w:t>
          </w:r>
          <w:r>
            <w:rPr>
              <w:b/>
              <w:bCs/>
              <w:sz w:val="22"/>
              <w:szCs w:val="22"/>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_Toc18465_WPSOffice_Level2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2cb29e90-0dc3-4074-97f1-2eecdd429801}"/>
              </w:placeholder>
            </w:sdtPr>
            <w:sdtEndPr>
              <w:rPr>
                <w:rFonts w:asciiTheme="minorHAnsi" w:hAnsiTheme="minorHAnsi" w:eastAsiaTheme="minorEastAsia" w:cstheme="minorBidi"/>
                <w:kern w:val="2"/>
                <w:sz w:val="21"/>
                <w:szCs w:val="22"/>
                <w:lang w:val="en-US" w:eastAsia="zh-CN" w:bidi="ar-SA"/>
              </w:rPr>
            </w:sdtEndPr>
            <w:sdtContent>
              <w:r>
                <w:rPr>
                  <w:rFonts w:hint="default" w:asciiTheme="minorEastAsia" w:hAnsiTheme="minorEastAsia" w:eastAsiaTheme="minorEastAsia" w:cstheme="minorBidi"/>
                </w:rPr>
                <w:t>一、 报告编制规范</w:t>
              </w:r>
            </w:sdtContent>
          </w:sdt>
          <w:r>
            <w:tab/>
          </w:r>
          <w:r>
            <w:rPr>
              <w:rFonts w:hint="eastAsia"/>
              <w:lang w:val="en-US" w:eastAsia="zh-CN"/>
            </w:rPr>
            <w:t>1</w:t>
          </w:r>
          <w: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_Toc27195_WPSOffice_Level2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a061f685-5b59-4835-a475-83bf469b0bbd}"/>
              </w:placeholder>
            </w:sdtPr>
            <w:sdtEndPr>
              <w:rPr>
                <w:rFonts w:asciiTheme="minorHAnsi" w:hAnsiTheme="minorHAnsi" w:eastAsiaTheme="minorEastAsia" w:cstheme="minorBidi"/>
                <w:kern w:val="2"/>
                <w:sz w:val="21"/>
                <w:szCs w:val="22"/>
                <w:lang w:val="en-US" w:eastAsia="zh-CN" w:bidi="ar-SA"/>
              </w:rPr>
            </w:sdtEndPr>
            <w:sdtContent>
              <w:r>
                <w:rPr>
                  <w:rFonts w:hint="default" w:asciiTheme="minorEastAsia" w:hAnsiTheme="minorEastAsia" w:eastAsiaTheme="minorEastAsia" w:cstheme="minorBidi"/>
                </w:rPr>
                <w:t xml:space="preserve">二、 </w:t>
              </w:r>
              <w:r>
                <w:rPr>
                  <w:rFonts w:asciiTheme="minorEastAsia" w:hAnsiTheme="minorEastAsia" w:eastAsiaTheme="minorEastAsia" w:cstheme="minorBidi"/>
                </w:rPr>
                <w:t>企业</w:t>
              </w:r>
              <w:r>
                <w:rPr>
                  <w:rFonts w:hint="eastAsia" w:asciiTheme="minorEastAsia" w:hAnsiTheme="minorEastAsia" w:eastAsiaTheme="minorEastAsia" w:cstheme="minorBidi"/>
                  <w:lang w:eastAsia="zh-CN"/>
                </w:rPr>
                <w:t>高层致辞</w:t>
              </w:r>
            </w:sdtContent>
          </w:sdt>
          <w:r>
            <w:tab/>
          </w:r>
          <w:r>
            <w:rPr>
              <w:rFonts w:hint="eastAsia"/>
              <w:lang w:val="en-US" w:eastAsia="zh-CN"/>
            </w:rPr>
            <w:t>1</w:t>
          </w:r>
          <w: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rPr>
              <w:b/>
              <w:bCs/>
              <w:sz w:val="22"/>
              <w:szCs w:val="22"/>
            </w:rPr>
          </w:pPr>
          <w:r>
            <w:fldChar w:fldCharType="begin"/>
          </w:r>
          <w:r>
            <w:instrText xml:space="preserve"> HYPERLINK \l _Toc109_WPSOffice_Level2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4b9eff46-dc7d-4fe7-9bd2-b4242112e970}"/>
              </w:placeholder>
            </w:sdtPr>
            <w:sdtEndPr>
              <w:rPr>
                <w:rFonts w:asciiTheme="minorHAnsi" w:hAnsiTheme="minorHAnsi" w:eastAsiaTheme="minorEastAsia" w:cstheme="minorBidi"/>
                <w:kern w:val="2"/>
                <w:sz w:val="21"/>
                <w:szCs w:val="22"/>
                <w:lang w:val="en-US" w:eastAsia="zh-CN" w:bidi="ar-SA"/>
              </w:rPr>
            </w:sdtEndPr>
            <w:sdtContent>
              <w:r>
                <w:rPr>
                  <w:rFonts w:hint="eastAsia" w:asciiTheme="minorHAnsi" w:hAnsiTheme="minorHAnsi" w:eastAsiaTheme="minorEastAsia" w:cstheme="minorBidi"/>
                  <w:kern w:val="2"/>
                  <w:sz w:val="21"/>
                  <w:szCs w:val="22"/>
                  <w:lang w:val="en-US" w:eastAsia="zh-CN" w:bidi="ar-SA"/>
                </w:rPr>
                <w:t xml:space="preserve">    </w:t>
              </w:r>
              <w:r>
                <w:rPr>
                  <w:rFonts w:hint="default" w:asciiTheme="minorEastAsia" w:hAnsiTheme="minorEastAsia" w:eastAsiaTheme="minorEastAsia" w:cstheme="minorBidi"/>
                </w:rPr>
                <w:t xml:space="preserve">三、 </w:t>
              </w:r>
              <w:r>
                <w:rPr>
                  <w:rFonts w:hint="eastAsia" w:asciiTheme="minorEastAsia" w:hAnsiTheme="minorEastAsia" w:eastAsiaTheme="minorEastAsia" w:cstheme="minorBidi"/>
                </w:rPr>
                <w:t>企业</w:t>
              </w:r>
              <w:r>
                <w:rPr>
                  <w:rFonts w:hint="eastAsia" w:asciiTheme="minorEastAsia" w:hAnsiTheme="minorEastAsia" w:eastAsiaTheme="minorEastAsia" w:cstheme="minorBidi"/>
                  <w:lang w:eastAsia="zh-CN"/>
                </w:rPr>
                <w:t>简介</w:t>
              </w:r>
            </w:sdtContent>
          </w:sdt>
          <w:r>
            <w:tab/>
          </w:r>
          <w:r>
            <w:rPr>
              <w:rFonts w:hint="eastAsia"/>
              <w:lang w:val="en-US" w:eastAsia="zh-CN"/>
            </w:rPr>
            <w:t>3</w:t>
          </w:r>
          <w: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rPr>
              <w:b/>
              <w:bCs/>
              <w:sz w:val="22"/>
              <w:szCs w:val="22"/>
            </w:rPr>
            <w:fldChar w:fldCharType="begin"/>
          </w:r>
          <w:r>
            <w:rPr>
              <w:b/>
              <w:bCs/>
              <w:sz w:val="22"/>
              <w:szCs w:val="22"/>
            </w:rPr>
            <w:instrText xml:space="preserve"> HYPERLINK \l _Toc548_WPSOffice_Level1 </w:instrText>
          </w:r>
          <w:r>
            <w:rPr>
              <w:b/>
              <w:bCs/>
              <w:sz w:val="22"/>
              <w:szCs w:val="22"/>
            </w:rPr>
            <w:fldChar w:fldCharType="separate"/>
          </w:r>
          <w:sdt>
            <w:sdtPr>
              <w:rPr>
                <w:rFonts w:asciiTheme="minorHAnsi" w:hAnsiTheme="minorHAnsi" w:eastAsiaTheme="minorEastAsia" w:cstheme="minorBidi"/>
                <w:b/>
                <w:bCs/>
                <w:kern w:val="2"/>
                <w:sz w:val="24"/>
                <w:szCs w:val="28"/>
                <w:lang w:val="en-US" w:eastAsia="zh-CN" w:bidi="ar-SA"/>
              </w:rPr>
              <w:id w:val="147465307"/>
              <w:placeholder>
                <w:docPart w:val="{b9fcf113-009f-4f27-ab7f-806332eb861a}"/>
              </w:placeholder>
            </w:sdtPr>
            <w:sdtEndPr>
              <w:rPr>
                <w:rFonts w:asciiTheme="minorHAnsi" w:hAnsiTheme="minorHAnsi" w:eastAsiaTheme="minorEastAsia" w:cstheme="minorBidi"/>
                <w:b/>
                <w:bCs/>
                <w:kern w:val="2"/>
                <w:sz w:val="24"/>
                <w:szCs w:val="28"/>
                <w:lang w:val="en-US" w:eastAsia="zh-CN" w:bidi="ar-SA"/>
              </w:rPr>
            </w:sdtEndPr>
            <w:sdtContent>
              <w:r>
                <w:rPr>
                  <w:rFonts w:hint="eastAsia" w:cs="Times New Roman" w:asciiTheme="majorEastAsia" w:hAnsiTheme="majorEastAsia" w:eastAsiaTheme="majorEastAsia"/>
                  <w:b/>
                  <w:bCs/>
                  <w:sz w:val="22"/>
                  <w:szCs w:val="22"/>
                </w:rPr>
                <w:t>第二部分  报告正文</w:t>
              </w:r>
            </w:sdtContent>
          </w:sdt>
          <w:r>
            <w:rPr>
              <w:b/>
              <w:bCs/>
              <w:sz w:val="22"/>
              <w:szCs w:val="22"/>
            </w:rPr>
            <w:tab/>
          </w:r>
          <w:r>
            <w:rPr>
              <w:b/>
              <w:bCs/>
              <w:sz w:val="22"/>
              <w:szCs w:val="22"/>
            </w:rPr>
            <w:t>5</w:t>
          </w:r>
          <w:r>
            <w:rPr>
              <w:b/>
              <w:bCs/>
              <w:sz w:val="22"/>
              <w:szCs w:val="22"/>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_Toc18465_WPSOffice_Level2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059c6fca-8a6d-42f3-bb64-6ccffe07e14c}"/>
              </w:placeholder>
            </w:sdtPr>
            <w:sdtEndPr>
              <w:rPr>
                <w:rFonts w:asciiTheme="minorHAnsi" w:hAnsiTheme="minorHAnsi" w:eastAsiaTheme="minorEastAsia" w:cstheme="minorBidi"/>
                <w:kern w:val="2"/>
                <w:sz w:val="21"/>
                <w:szCs w:val="22"/>
                <w:lang w:val="en-US" w:eastAsia="zh-CN" w:bidi="ar-SA"/>
              </w:rPr>
            </w:sdtEndPr>
            <w:sdtContent>
              <w:r>
                <w:rPr>
                  <w:rFonts w:hint="default" w:asciiTheme="minorEastAsia" w:hAnsiTheme="minorEastAsia" w:eastAsiaTheme="minorEastAsia" w:cstheme="minorBidi"/>
                </w:rPr>
                <w:t xml:space="preserve">一、 </w:t>
              </w:r>
              <w:r>
                <w:rPr>
                  <w:rFonts w:hint="eastAsia" w:asciiTheme="minorEastAsia" w:hAnsiTheme="minorEastAsia" w:eastAsiaTheme="minorEastAsia" w:cstheme="minorBidi"/>
                </w:rPr>
                <w:t>企业质量理念</w:t>
              </w:r>
            </w:sdtContent>
          </w:sdt>
          <w:r>
            <w:tab/>
          </w:r>
          <w:bookmarkStart w:id="1" w:name="_Toc18465_WPSOffice_Level2Page"/>
          <w:r>
            <w:t>5</w:t>
          </w:r>
          <w:bookmarkEnd w:id="1"/>
          <w: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_Toc27195_WPSOffice_Level2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d7c595fa-c29f-445a-b276-4549f83e043a}"/>
              </w:placeholder>
            </w:sdtPr>
            <w:sdtEndPr>
              <w:rPr>
                <w:rFonts w:asciiTheme="minorHAnsi" w:hAnsiTheme="minorHAnsi" w:eastAsiaTheme="minorEastAsia" w:cstheme="minorBidi"/>
                <w:kern w:val="2"/>
                <w:sz w:val="21"/>
                <w:szCs w:val="22"/>
                <w:lang w:val="en-US" w:eastAsia="zh-CN" w:bidi="ar-SA"/>
              </w:rPr>
            </w:sdtEndPr>
            <w:sdtContent>
              <w:r>
                <w:rPr>
                  <w:rFonts w:hint="default" w:asciiTheme="minorEastAsia" w:hAnsiTheme="minorEastAsia" w:eastAsiaTheme="minorEastAsia" w:cstheme="minorBidi"/>
                </w:rPr>
                <w:t xml:space="preserve">二、 </w:t>
              </w:r>
              <w:r>
                <w:rPr>
                  <w:rFonts w:asciiTheme="minorEastAsia" w:hAnsiTheme="minorEastAsia" w:eastAsiaTheme="minorEastAsia" w:cstheme="minorBidi"/>
                </w:rPr>
                <w:t>企业质量管理</w:t>
              </w:r>
            </w:sdtContent>
          </w:sdt>
          <w:r>
            <w:tab/>
          </w:r>
          <w:r>
            <w:rPr>
              <w:rFonts w:hint="eastAsia"/>
              <w:lang w:val="en-US" w:eastAsia="zh-CN"/>
            </w:rPr>
            <w:t>6</w:t>
          </w:r>
          <w: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_Toc18465_WPSOffice_Level3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7be874ea-89a2-426c-a2c9-ea6745f52ffb}"/>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（一） </w:t>
              </w:r>
              <w:r>
                <w:rPr>
                  <w:rFonts w:hint="eastAsia" w:ascii="宋体" w:hAnsi="宋体" w:eastAsiaTheme="minorEastAsia" w:cstheme="minorBidi"/>
                </w:rPr>
                <w:t>质量管理机构</w:t>
              </w:r>
            </w:sdtContent>
          </w:sdt>
          <w:r>
            <w:tab/>
          </w:r>
          <w:bookmarkStart w:id="2" w:name="_Toc18465_WPSOffice_Level3Page"/>
          <w:r>
            <w:t>6</w:t>
          </w:r>
          <w:bookmarkEnd w:id="2"/>
          <w: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_Toc27195_WPSOffice_Level3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25525927-0899-4310-87e2-fc54a168f58b}"/>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（二） </w:t>
              </w:r>
              <w:r>
                <w:rPr>
                  <w:rFonts w:ascii="宋体" w:hAnsi="宋体" w:eastAsiaTheme="minorEastAsia" w:cstheme="minorBidi"/>
                </w:rPr>
                <w:t>质量管理体系</w:t>
              </w:r>
            </w:sdtContent>
          </w:sdt>
          <w:r>
            <w:tab/>
          </w:r>
          <w:bookmarkStart w:id="3" w:name="_Toc27195_WPSOffice_Level3Page"/>
          <w:r>
            <w:t>6</w:t>
          </w:r>
          <w:bookmarkEnd w:id="3"/>
          <w: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_Toc109_WPSOffice_Level2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7cb8fdd4-0de1-4282-beff-c4934cbd28f4}"/>
              </w:placeholder>
            </w:sdtPr>
            <w:sdtEndPr>
              <w:rPr>
                <w:rFonts w:asciiTheme="minorHAnsi" w:hAnsiTheme="minorHAnsi" w:eastAsiaTheme="minorEastAsia" w:cstheme="minorBidi"/>
                <w:kern w:val="2"/>
                <w:sz w:val="21"/>
                <w:szCs w:val="22"/>
                <w:lang w:val="en-US" w:eastAsia="zh-CN" w:bidi="ar-SA"/>
              </w:rPr>
            </w:sdtEndPr>
            <w:sdtContent>
              <w:r>
                <w:rPr>
                  <w:rFonts w:hint="default" w:asciiTheme="minorEastAsia" w:hAnsiTheme="minorEastAsia" w:eastAsiaTheme="minorEastAsia" w:cstheme="minorBidi"/>
                </w:rPr>
                <w:t xml:space="preserve">三、 </w:t>
              </w:r>
              <w:r>
                <w:rPr>
                  <w:rFonts w:hint="eastAsia" w:asciiTheme="minorEastAsia" w:hAnsiTheme="minorEastAsia" w:eastAsiaTheme="minorEastAsia" w:cstheme="minorBidi"/>
                </w:rPr>
                <w:t>企业质量诚信</w:t>
              </w:r>
            </w:sdtContent>
          </w:sdt>
          <w:r>
            <w:tab/>
          </w:r>
          <w:r>
            <w:rPr>
              <w:rFonts w:hint="eastAsia"/>
              <w:lang w:val="en-US" w:eastAsia="zh-CN"/>
            </w:rPr>
            <w:t>8</w:t>
          </w:r>
          <w: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_Toc109_WPSOffice_Level3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d2000722-34e5-4813-abb5-226dd7160a79}"/>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（一） </w:t>
              </w:r>
              <w:r>
                <w:rPr>
                  <w:rFonts w:hint="eastAsia" w:ascii="宋体" w:hAnsi="宋体" w:eastAsiaTheme="minorEastAsia" w:cstheme="minorBidi"/>
                </w:rPr>
                <w:t>质量诚信管理</w:t>
              </w:r>
            </w:sdtContent>
          </w:sdt>
          <w:r>
            <w:tab/>
          </w:r>
          <w:r>
            <w:rPr>
              <w:rFonts w:hint="eastAsia"/>
              <w:lang w:val="en-US" w:eastAsia="zh-CN"/>
            </w:rPr>
            <w:t>8</w:t>
          </w:r>
          <w: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_Toc21192_WPSOffice_Level3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42aece89-54d5-4441-8d48-941eff70cd62}"/>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（二） </w:t>
              </w:r>
              <w:r>
                <w:rPr>
                  <w:rFonts w:ascii="宋体" w:hAnsi="宋体" w:eastAsiaTheme="minorEastAsia" w:cstheme="minorBidi"/>
                </w:rPr>
                <w:t>质量文化建设</w:t>
              </w:r>
            </w:sdtContent>
          </w:sdt>
          <w:r>
            <w:tab/>
          </w:r>
          <w:r>
            <w:rPr>
              <w:rFonts w:hint="eastAsia"/>
              <w:lang w:val="en-US" w:eastAsia="zh-CN"/>
            </w:rPr>
            <w:t>8</w:t>
          </w:r>
          <w: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_Toc21192_WPSOffice_Level2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c8f5190d-ede9-4e69-a715-9aa62fdc33d4}"/>
              </w:placeholder>
            </w:sdtPr>
            <w:sdtEndPr>
              <w:rPr>
                <w:rFonts w:asciiTheme="minorHAnsi" w:hAnsiTheme="minorHAnsi" w:eastAsiaTheme="minorEastAsia" w:cstheme="minorBidi"/>
                <w:kern w:val="2"/>
                <w:sz w:val="21"/>
                <w:szCs w:val="22"/>
                <w:lang w:val="en-US" w:eastAsia="zh-CN" w:bidi="ar-SA"/>
              </w:rPr>
            </w:sdtEndPr>
            <w:sdtContent>
              <w:r>
                <w:rPr>
                  <w:rFonts w:hint="default" w:asciiTheme="minorEastAsia" w:hAnsiTheme="minorEastAsia" w:eastAsiaTheme="minorEastAsia" w:cstheme="minorBidi"/>
                </w:rPr>
                <w:t xml:space="preserve">四、 </w:t>
              </w:r>
              <w:r>
                <w:rPr>
                  <w:rFonts w:hint="eastAsia" w:asciiTheme="minorEastAsia" w:hAnsiTheme="minorEastAsia" w:eastAsiaTheme="minorEastAsia" w:cstheme="minorBidi"/>
                </w:rPr>
                <w:t>企业质量基础</w:t>
              </w:r>
            </w:sdtContent>
          </w:sdt>
          <w:r>
            <w:tab/>
          </w:r>
          <w:r>
            <w:rPr>
              <w:rFonts w:hint="eastAsia"/>
              <w:lang w:val="en-US" w:eastAsia="zh-CN"/>
            </w:rPr>
            <w:t>9</w:t>
          </w:r>
          <w: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_Toc15765_WPSOffice_Level3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b8861931-7de4-4feb-b969-cd3f14bd0f65}"/>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（一） </w:t>
              </w:r>
              <w:r>
                <w:rPr>
                  <w:rFonts w:hint="eastAsia" w:ascii="宋体" w:hAnsi="宋体" w:eastAsiaTheme="minorEastAsia" w:cstheme="minorBidi"/>
                </w:rPr>
                <w:t>企业产品标准</w:t>
              </w:r>
            </w:sdtContent>
          </w:sdt>
          <w:r>
            <w:tab/>
          </w:r>
          <w:r>
            <w:rPr>
              <w:rFonts w:hint="eastAsia"/>
              <w:lang w:val="en-US" w:eastAsia="zh-CN"/>
            </w:rPr>
            <w:t>9</w:t>
          </w:r>
          <w: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rPr>
              <w:rFonts w:hint="eastAsia" w:eastAsia="宋体"/>
              <w:lang w:val="en-US" w:eastAsia="zh-CN"/>
            </w:rPr>
          </w:pPr>
          <w:r>
            <w:fldChar w:fldCharType="begin"/>
          </w:r>
          <w:r>
            <w:instrText xml:space="preserve"> HYPERLINK \l _Toc13697_WPSOffice_Level3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cfe41a68-338f-42c0-af03-a692c8fb9c2b}"/>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（二） </w:t>
              </w:r>
              <w:r>
                <w:rPr>
                  <w:rFonts w:ascii="宋体" w:hAnsi="宋体" w:eastAsiaTheme="minorEastAsia" w:cstheme="minorBidi"/>
                </w:rPr>
                <w:t>企业计量水平</w:t>
              </w:r>
            </w:sdtContent>
          </w:sdt>
          <w:r>
            <w:tab/>
          </w:r>
          <w:r>
            <w:rPr>
              <w:rFonts w:hint="eastAsia"/>
              <w:lang w:val="en-US" w:eastAsia="zh-CN"/>
            </w:rPr>
            <w:t>1</w:t>
          </w:r>
          <w:r>
            <w:fldChar w:fldCharType="end"/>
          </w:r>
          <w:r>
            <w:rPr>
              <w:rFonts w:hint="eastAsia"/>
              <w:lang w:val="en-US" w:eastAsia="zh-CN"/>
            </w:rPr>
            <w:t>0</w:t>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_Toc19188_WPSOffice_Level3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7748ef8e-e267-4889-abe3-1d61e8c36b83}"/>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（三） </w:t>
              </w:r>
              <w:r>
                <w:rPr>
                  <w:rFonts w:ascii="宋体" w:hAnsi="宋体" w:eastAsiaTheme="minorEastAsia" w:cstheme="minorBidi"/>
                </w:rPr>
                <w:t>认证认可情况</w:t>
              </w:r>
            </w:sdtContent>
          </w:sdt>
          <w:r>
            <w:tab/>
          </w:r>
          <w:bookmarkStart w:id="4" w:name="_Toc19188_WPSOffice_Level3Page"/>
          <w:r>
            <w:t>10</w:t>
          </w:r>
          <w:bookmarkEnd w:id="4"/>
          <w: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_Toc24685_WPSOffice_Level3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59551353-982f-42ca-a11e-ce52aba30f41}"/>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（四） </w:t>
              </w:r>
              <w:r>
                <w:rPr>
                  <w:rFonts w:ascii="宋体" w:hAnsi="宋体" w:eastAsiaTheme="minorEastAsia" w:cstheme="minorBidi"/>
                </w:rPr>
                <w:t>领先的技术</w:t>
              </w:r>
            </w:sdtContent>
          </w:sdt>
          <w:r>
            <w:tab/>
          </w:r>
          <w:bookmarkStart w:id="5" w:name="_Toc24685_WPSOffice_Level3Page"/>
          <w:r>
            <w:t>10</w:t>
          </w:r>
          <w:bookmarkEnd w:id="5"/>
          <w: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_Toc30267_WPSOffice_Level3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a453e1dd-ecb8-4f94-b0cc-087935932118}"/>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（五） </w:t>
              </w:r>
              <w:r>
                <w:rPr>
                  <w:rFonts w:hint="eastAsia" w:ascii="宋体" w:hAnsi="宋体" w:eastAsiaTheme="minorEastAsia" w:cstheme="minorBidi"/>
                </w:rPr>
                <w:t>安全、环境管理情况</w:t>
              </w:r>
            </w:sdtContent>
          </w:sdt>
          <w:r>
            <w:tab/>
          </w:r>
          <w:bookmarkStart w:id="6" w:name="_Toc30267_WPSOffice_Level3Page"/>
          <w:r>
            <w:t>1</w:t>
          </w:r>
          <w:bookmarkEnd w:id="6"/>
          <w:r>
            <w:rPr>
              <w:rFonts w:hint="eastAsia"/>
              <w:lang w:val="en-US" w:eastAsia="zh-CN"/>
            </w:rPr>
            <w:t>1</w:t>
          </w:r>
          <w: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_Toc15765_WPSOffice_Level2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56ff4305-02c7-4bf8-8ff1-3da09974c020}"/>
              </w:placeholder>
            </w:sdtPr>
            <w:sdtEndPr>
              <w:rPr>
                <w:rFonts w:asciiTheme="minorHAnsi" w:hAnsiTheme="minorHAnsi" w:eastAsiaTheme="minorEastAsia" w:cstheme="minorBidi"/>
                <w:kern w:val="2"/>
                <w:sz w:val="21"/>
                <w:szCs w:val="22"/>
                <w:lang w:val="en-US" w:eastAsia="zh-CN" w:bidi="ar-SA"/>
              </w:rPr>
            </w:sdtEndPr>
            <w:sdtContent>
              <w:r>
                <w:rPr>
                  <w:rFonts w:hint="default" w:asciiTheme="minorEastAsia" w:hAnsiTheme="minorEastAsia" w:eastAsiaTheme="minorEastAsia" w:cstheme="minorBidi"/>
                </w:rPr>
                <w:t xml:space="preserve">五、 </w:t>
              </w:r>
              <w:r>
                <w:rPr>
                  <w:rFonts w:asciiTheme="minorEastAsia" w:hAnsiTheme="minorEastAsia" w:eastAsiaTheme="minorEastAsia" w:cstheme="minorBidi"/>
                </w:rPr>
                <w:t>产品质量责任</w:t>
              </w:r>
            </w:sdtContent>
          </w:sdt>
          <w:r>
            <w:tab/>
          </w:r>
          <w:bookmarkStart w:id="7" w:name="_Toc15765_WPSOffice_Level2Page"/>
          <w:r>
            <w:t>1</w:t>
          </w:r>
          <w:bookmarkEnd w:id="7"/>
          <w:r>
            <w:rPr>
              <w:rFonts w:hint="eastAsia"/>
              <w:lang w:val="en-US" w:eastAsia="zh-CN"/>
            </w:rPr>
            <w:t>2</w:t>
          </w:r>
          <w: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_Toc27411_WPSOffice_Level3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da6287fc-691e-45b3-ba4f-6b76bc1743f6}"/>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（一） </w:t>
              </w:r>
              <w:r>
                <w:rPr>
                  <w:rFonts w:hint="eastAsia" w:ascii="宋体" w:hAnsi="宋体" w:eastAsiaTheme="minorEastAsia" w:cstheme="minorBidi"/>
                </w:rPr>
                <w:t>产品质量承诺</w:t>
              </w:r>
            </w:sdtContent>
          </w:sdt>
          <w:r>
            <w:tab/>
          </w:r>
          <w:bookmarkStart w:id="8" w:name="_Toc27411_WPSOffice_Level3Page"/>
          <w:r>
            <w:t>1</w:t>
          </w:r>
          <w:bookmarkEnd w:id="8"/>
          <w:r>
            <w:rPr>
              <w:rFonts w:hint="eastAsia"/>
              <w:lang w:val="en-US" w:eastAsia="zh-CN"/>
            </w:rPr>
            <w:t>2</w:t>
          </w:r>
          <w: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_Toc32498_WPSOffice_Level3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cd354e29-edac-4ded-8460-08afb271cd08}"/>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（二） </w:t>
              </w:r>
              <w:r>
                <w:rPr>
                  <w:rFonts w:hint="eastAsia" w:ascii="宋体" w:hAnsi="宋体" w:eastAsiaTheme="minorEastAsia" w:cstheme="minorBidi"/>
                </w:rPr>
                <w:t>产品召回情况</w:t>
              </w:r>
            </w:sdtContent>
          </w:sdt>
          <w:r>
            <w:tab/>
          </w:r>
          <w:bookmarkStart w:id="9" w:name="_Toc32498_WPSOffice_Level3Page"/>
          <w:r>
            <w:t>1</w:t>
          </w:r>
          <w:bookmarkEnd w:id="9"/>
          <w:r>
            <w:rPr>
              <w:rFonts w:hint="eastAsia"/>
              <w:lang w:val="en-US" w:eastAsia="zh-CN"/>
            </w:rPr>
            <w:t>2</w:t>
          </w:r>
          <w: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_Toc13697_WPSOffice_Level2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6f053731-884b-482b-87db-f211d761069a}"/>
              </w:placeholder>
            </w:sdtPr>
            <w:sdtEndPr>
              <w:rPr>
                <w:rFonts w:asciiTheme="minorHAnsi" w:hAnsiTheme="minorHAnsi" w:eastAsiaTheme="minorEastAsia" w:cstheme="minorBidi"/>
                <w:kern w:val="2"/>
                <w:sz w:val="21"/>
                <w:szCs w:val="22"/>
                <w:lang w:val="en-US" w:eastAsia="zh-CN" w:bidi="ar-SA"/>
              </w:rPr>
            </w:sdtEndPr>
            <w:sdtContent>
              <w:r>
                <w:rPr>
                  <w:rFonts w:hint="default" w:asciiTheme="minorEastAsia" w:hAnsiTheme="minorEastAsia" w:eastAsiaTheme="minorEastAsia" w:cstheme="minorBidi"/>
                </w:rPr>
                <w:t xml:space="preserve">六、 </w:t>
              </w:r>
              <w:r>
                <w:rPr>
                  <w:rFonts w:asciiTheme="minorEastAsia" w:hAnsiTheme="minorEastAsia" w:eastAsiaTheme="minorEastAsia" w:cstheme="minorBidi"/>
                </w:rPr>
                <w:t>质量风险管理</w:t>
              </w:r>
            </w:sdtContent>
          </w:sdt>
          <w:r>
            <w:tab/>
          </w:r>
          <w:bookmarkStart w:id="10" w:name="_Toc13697_WPSOffice_Level2Page"/>
          <w:r>
            <w:t>1</w:t>
          </w:r>
          <w:bookmarkEnd w:id="10"/>
          <w:r>
            <w:rPr>
              <w:rFonts w:hint="eastAsia"/>
              <w:lang w:val="en-US" w:eastAsia="zh-CN"/>
            </w:rPr>
            <w:t>3</w:t>
          </w:r>
          <w: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_Toc27795_WPSOffice_Level3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b4b6400b-06c4-41dc-95e3-91983f4be6f3}"/>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（一） </w:t>
              </w:r>
              <w:r>
                <w:rPr>
                  <w:rFonts w:hint="eastAsia" w:ascii="宋体" w:hAnsi="宋体" w:eastAsiaTheme="minorEastAsia" w:cstheme="minorBidi"/>
                </w:rPr>
                <w:t>质量投诉处理</w:t>
              </w:r>
            </w:sdtContent>
          </w:sdt>
          <w:r>
            <w:tab/>
          </w:r>
          <w:bookmarkStart w:id="11" w:name="_Toc27795_WPSOffice_Level3Page"/>
          <w:r>
            <w:t>1</w:t>
          </w:r>
          <w:bookmarkEnd w:id="11"/>
          <w:r>
            <w:rPr>
              <w:rFonts w:hint="eastAsia"/>
              <w:lang w:val="en-US" w:eastAsia="zh-CN"/>
            </w:rPr>
            <w:t>3</w:t>
          </w:r>
          <w: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_Toc26272_WPSOffice_Level3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deefec51-2ce1-4e74-a661-a5cc68652678}"/>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（二） </w:t>
              </w:r>
              <w:r>
                <w:rPr>
                  <w:rFonts w:hint="eastAsia" w:ascii="宋体" w:hAnsi="宋体" w:eastAsiaTheme="minorEastAsia" w:cstheme="minorBidi"/>
                </w:rPr>
                <w:t>质量风险监测</w:t>
              </w:r>
            </w:sdtContent>
          </w:sdt>
          <w:r>
            <w:tab/>
          </w:r>
          <w:bookmarkStart w:id="12" w:name="_Toc26272_WPSOffice_Level3Page"/>
          <w:r>
            <w:t>1</w:t>
          </w:r>
          <w:bookmarkEnd w:id="12"/>
          <w:r>
            <w:rPr>
              <w:rFonts w:hint="eastAsia"/>
              <w:lang w:val="en-US" w:eastAsia="zh-CN"/>
            </w:rPr>
            <w:t>3</w:t>
          </w:r>
          <w: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_Toc13209_WPSOffice_Level3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fc94eebf-dd44-42f2-a875-1faa5c8da3ed}"/>
              </w:placeholder>
            </w:sdtPr>
            <w:sdtEndPr>
              <w:rPr>
                <w:rFonts w:asciiTheme="minorHAnsi" w:hAnsiTheme="minorHAnsi" w:eastAsiaTheme="minorEastAsia" w:cstheme="minorBidi"/>
                <w:kern w:val="2"/>
                <w:sz w:val="21"/>
                <w:szCs w:val="22"/>
                <w:lang w:val="en-US" w:eastAsia="zh-CN" w:bidi="ar-SA"/>
              </w:rPr>
            </w:sdtEndPr>
            <w:sdtContent>
              <w:r>
                <w:rPr>
                  <w:rFonts w:hint="default" w:ascii="宋体" w:hAnsi="宋体" w:eastAsiaTheme="minorEastAsia" w:cstheme="minorBidi"/>
                </w:rPr>
                <w:t xml:space="preserve">（三） </w:t>
              </w:r>
              <w:r>
                <w:rPr>
                  <w:rFonts w:ascii="宋体" w:hAnsi="宋体" w:eastAsiaTheme="minorEastAsia" w:cstheme="minorBidi"/>
                </w:rPr>
                <w:t>应急管理</w:t>
              </w:r>
            </w:sdtContent>
          </w:sdt>
          <w:r>
            <w:tab/>
          </w:r>
          <w:bookmarkStart w:id="13" w:name="_Toc13209_WPSOffice_Level3Page"/>
          <w:r>
            <w:t>1</w:t>
          </w:r>
          <w:bookmarkEnd w:id="13"/>
          <w:r>
            <w:rPr>
              <w:rFonts w:hint="eastAsia"/>
              <w:lang w:val="en-US" w:eastAsia="zh-CN"/>
            </w:rPr>
            <w:t>3</w:t>
          </w:r>
          <w: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rPr>
              <w:b/>
              <w:bCs/>
              <w:sz w:val="22"/>
              <w:szCs w:val="22"/>
            </w:rPr>
          </w:pPr>
          <w:r>
            <w:rPr>
              <w:b/>
              <w:bCs/>
              <w:sz w:val="22"/>
              <w:szCs w:val="22"/>
            </w:rPr>
            <w:fldChar w:fldCharType="begin"/>
          </w:r>
          <w:r>
            <w:rPr>
              <w:b/>
              <w:bCs/>
              <w:sz w:val="22"/>
              <w:szCs w:val="22"/>
            </w:rPr>
            <w:instrText xml:space="preserve"> HYPERLINK \l _Toc18465_WPSOffice_Level1 </w:instrText>
          </w:r>
          <w:r>
            <w:rPr>
              <w:b/>
              <w:bCs/>
              <w:sz w:val="22"/>
              <w:szCs w:val="22"/>
            </w:rPr>
            <w:fldChar w:fldCharType="separate"/>
          </w:r>
          <w:sdt>
            <w:sdtPr>
              <w:rPr>
                <w:rFonts w:asciiTheme="minorHAnsi" w:hAnsiTheme="minorHAnsi" w:eastAsiaTheme="minorEastAsia" w:cstheme="minorBidi"/>
                <w:b/>
                <w:bCs/>
                <w:kern w:val="2"/>
                <w:sz w:val="22"/>
                <w:szCs w:val="22"/>
                <w:lang w:val="en-US" w:eastAsia="zh-CN" w:bidi="ar-SA"/>
              </w:rPr>
              <w:id w:val="147465307"/>
              <w:placeholder>
                <w:docPart w:val="{2ebf849e-1a05-45f0-b08d-2fd498cc26e5}"/>
              </w:placeholder>
            </w:sdtPr>
            <w:sdtEndPr>
              <w:rPr>
                <w:rFonts w:asciiTheme="minorHAnsi" w:hAnsiTheme="minorHAnsi" w:eastAsiaTheme="minorEastAsia" w:cstheme="minorBidi"/>
                <w:b/>
                <w:bCs/>
                <w:kern w:val="2"/>
                <w:sz w:val="22"/>
                <w:szCs w:val="22"/>
                <w:lang w:val="en-US" w:eastAsia="zh-CN" w:bidi="ar-SA"/>
              </w:rPr>
            </w:sdtEndPr>
            <w:sdtContent>
              <w:r>
                <w:rPr>
                  <w:rFonts w:hint="eastAsia" w:cs="Times New Roman" w:asciiTheme="majorEastAsia" w:hAnsiTheme="majorEastAsia" w:eastAsiaTheme="majorEastAsia"/>
                  <w:b/>
                  <w:bCs/>
                  <w:sz w:val="22"/>
                  <w:szCs w:val="22"/>
                </w:rPr>
                <w:t>第三部分  报告结语</w:t>
              </w:r>
            </w:sdtContent>
          </w:sdt>
          <w:r>
            <w:rPr>
              <w:b/>
              <w:bCs/>
              <w:sz w:val="22"/>
              <w:szCs w:val="22"/>
            </w:rPr>
            <w:tab/>
          </w:r>
          <w:bookmarkStart w:id="14" w:name="_Toc18465_WPSOffice_Level1Page"/>
          <w:r>
            <w:rPr>
              <w:b/>
              <w:bCs/>
              <w:sz w:val="22"/>
              <w:szCs w:val="22"/>
            </w:rPr>
            <w:t>1</w:t>
          </w:r>
          <w:bookmarkEnd w:id="14"/>
          <w:r>
            <w:rPr>
              <w:rFonts w:hint="eastAsia"/>
              <w:b/>
              <w:bCs/>
              <w:sz w:val="22"/>
              <w:szCs w:val="22"/>
              <w:lang w:val="en-US" w:eastAsia="zh-CN"/>
            </w:rPr>
            <w:t>4</w:t>
          </w:r>
          <w:r>
            <w:rPr>
              <w:b/>
              <w:bCs/>
              <w:sz w:val="22"/>
              <w:szCs w:val="22"/>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_Toc19188_WPSOffice_Level2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9e307e74-924e-4b04-915f-20cda5caf781}"/>
              </w:placeholder>
            </w:sdtPr>
            <w:sdtEndPr>
              <w:rPr>
                <w:rFonts w:asciiTheme="minorHAnsi" w:hAnsiTheme="minorHAnsi" w:eastAsiaTheme="minorEastAsia" w:cstheme="minorBidi"/>
                <w:kern w:val="2"/>
                <w:sz w:val="21"/>
                <w:szCs w:val="22"/>
                <w:lang w:val="en-US" w:eastAsia="zh-CN" w:bidi="ar-SA"/>
              </w:rPr>
            </w:sdtEndPr>
            <w:sdtContent>
              <w:r>
                <w:rPr>
                  <w:rFonts w:hint="default" w:asciiTheme="minorEastAsia" w:hAnsiTheme="minorEastAsia" w:eastAsiaTheme="minorEastAsia" w:cstheme="minorBidi"/>
                </w:rPr>
                <w:t xml:space="preserve">一、 </w:t>
              </w:r>
              <w:r>
                <w:rPr>
                  <w:rFonts w:hint="eastAsia" w:asciiTheme="minorEastAsia" w:hAnsiTheme="minorEastAsia" w:eastAsiaTheme="minorEastAsia" w:cstheme="minorBidi"/>
                </w:rPr>
                <w:t>未来展望</w:t>
              </w:r>
            </w:sdtContent>
          </w:sdt>
          <w:r>
            <w:tab/>
          </w:r>
          <w:bookmarkStart w:id="15" w:name="_Toc19188_WPSOffice_Level2Page"/>
          <w:r>
            <w:t>1</w:t>
          </w:r>
          <w:bookmarkEnd w:id="15"/>
          <w:r>
            <w:rPr>
              <w:rFonts w:hint="eastAsia"/>
              <w:lang w:val="en-US" w:eastAsia="zh-CN"/>
            </w:rPr>
            <w:t>4</w:t>
          </w:r>
          <w: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288" w:lineRule="auto"/>
            <w:jc w:val="both"/>
            <w:textAlignment w:val="auto"/>
            <w:outlineLvl w:val="9"/>
          </w:pPr>
          <w:r>
            <w:fldChar w:fldCharType="begin"/>
          </w:r>
          <w:r>
            <w:instrText xml:space="preserve"> HYPERLINK \l _Toc24685_WPSOffice_Level2 </w:instrText>
          </w:r>
          <w:r>
            <w:fldChar w:fldCharType="separate"/>
          </w:r>
          <w:sdt>
            <w:sdtPr>
              <w:rPr>
                <w:rFonts w:asciiTheme="minorHAnsi" w:hAnsiTheme="minorHAnsi" w:eastAsiaTheme="minorEastAsia" w:cstheme="minorBidi"/>
                <w:kern w:val="2"/>
                <w:sz w:val="21"/>
                <w:szCs w:val="22"/>
                <w:lang w:val="en-US" w:eastAsia="zh-CN" w:bidi="ar-SA"/>
              </w:rPr>
              <w:id w:val="147465307"/>
              <w:placeholder>
                <w:docPart w:val="{bb284234-b248-4b7f-a159-1e6c11899509}"/>
              </w:placeholder>
            </w:sdtPr>
            <w:sdtEndPr>
              <w:rPr>
                <w:rFonts w:asciiTheme="minorHAnsi" w:hAnsiTheme="minorHAnsi" w:eastAsiaTheme="minorEastAsia" w:cstheme="minorBidi"/>
                <w:kern w:val="2"/>
                <w:sz w:val="21"/>
                <w:szCs w:val="22"/>
                <w:lang w:val="en-US" w:eastAsia="zh-CN" w:bidi="ar-SA"/>
              </w:rPr>
            </w:sdtEndPr>
            <w:sdtContent>
              <w:r>
                <w:rPr>
                  <w:rFonts w:hint="default" w:asciiTheme="minorEastAsia" w:hAnsiTheme="minorEastAsia" w:eastAsiaTheme="minorEastAsia" w:cstheme="minorBidi"/>
                </w:rPr>
                <w:t xml:space="preserve">二、 </w:t>
              </w:r>
              <w:r>
                <w:rPr>
                  <w:rFonts w:asciiTheme="minorEastAsia" w:hAnsiTheme="minorEastAsia" w:eastAsiaTheme="minorEastAsia" w:cstheme="minorBidi"/>
                </w:rPr>
                <w:t>读者意见反馈</w:t>
              </w:r>
            </w:sdtContent>
          </w:sdt>
          <w:r>
            <w:tab/>
          </w:r>
          <w:bookmarkStart w:id="16" w:name="_Toc24685_WPSOffice_Level2Page"/>
          <w:r>
            <w:t>1</w:t>
          </w:r>
          <w:bookmarkEnd w:id="16"/>
          <w:r>
            <w:rPr>
              <w:rFonts w:hint="eastAsia"/>
              <w:lang w:val="en-US" w:eastAsia="zh-CN"/>
            </w:rPr>
            <w:t>4</w:t>
          </w:r>
          <w:r>
            <w:fldChar w:fldCharType="end"/>
          </w:r>
          <w:bookmarkEnd w:id="0"/>
          <w:bookmarkStart w:id="42" w:name="_GoBack"/>
          <w:bookmarkEnd w:id="42"/>
        </w:p>
      </w:sdtContent>
    </w:sdt>
    <w:p/>
    <w:p/>
    <w:p/>
    <w:p/>
    <w:p/>
    <w:p/>
    <w:p>
      <w:pPr>
        <w:widowControl/>
        <w:jc w:val="left"/>
      </w:pPr>
      <w:r>
        <w:br w:type="page"/>
      </w:r>
    </w:p>
    <w:p>
      <w:pPr>
        <w:jc w:val="center"/>
        <w:rPr>
          <w:rFonts w:cs="Times New Roman" w:asciiTheme="majorEastAsia" w:hAnsiTheme="majorEastAsia" w:eastAsiaTheme="majorEastAsia"/>
          <w:b/>
          <w:sz w:val="36"/>
        </w:rPr>
      </w:pPr>
    </w:p>
    <w:p>
      <w:pPr>
        <w:jc w:val="center"/>
        <w:outlineLvl w:val="0"/>
        <w:rPr>
          <w:rFonts w:cs="Times New Roman" w:asciiTheme="majorEastAsia" w:hAnsiTheme="majorEastAsia" w:eastAsiaTheme="majorEastAsia"/>
          <w:b/>
          <w:sz w:val="36"/>
        </w:rPr>
      </w:pPr>
      <w:bookmarkStart w:id="17" w:name="_Toc548_WPSOffice_Level1"/>
      <w:r>
        <w:rPr>
          <w:rFonts w:hint="eastAsia" w:cs="Times New Roman" w:asciiTheme="majorEastAsia" w:hAnsiTheme="majorEastAsia" w:eastAsiaTheme="majorEastAsia"/>
          <w:b/>
          <w:sz w:val="36"/>
        </w:rPr>
        <w:t>第二部分  报告正文</w:t>
      </w:r>
      <w:bookmarkEnd w:id="17"/>
    </w:p>
    <w:p>
      <w:pPr>
        <w:jc w:val="center"/>
        <w:rPr>
          <w:rFonts w:cs="Times New Roman" w:asciiTheme="majorEastAsia" w:hAnsiTheme="majorEastAsia" w:eastAsiaTheme="majorEastAsia"/>
          <w:b/>
          <w:sz w:val="36"/>
        </w:rPr>
      </w:pPr>
    </w:p>
    <w:p>
      <w:pPr>
        <w:pStyle w:val="9"/>
        <w:numPr>
          <w:ilvl w:val="0"/>
          <w:numId w:val="2"/>
        </w:numPr>
        <w:adjustRightInd w:val="0"/>
        <w:snapToGrid w:val="0"/>
        <w:spacing w:line="360" w:lineRule="auto"/>
        <w:ind w:firstLineChars="0"/>
        <w:outlineLvl w:val="1"/>
        <w:rPr>
          <w:rFonts w:asciiTheme="minorEastAsia" w:hAnsiTheme="minorEastAsia"/>
          <w:b/>
          <w:sz w:val="28"/>
        </w:rPr>
      </w:pPr>
      <w:bookmarkStart w:id="18" w:name="_Toc18465_WPSOffice_Level2"/>
      <w:r>
        <w:rPr>
          <w:rFonts w:hint="eastAsia" w:asciiTheme="minorEastAsia" w:hAnsiTheme="minorEastAsia"/>
          <w:b/>
          <w:sz w:val="28"/>
        </w:rPr>
        <w:t>企业质量理念</w:t>
      </w:r>
      <w:bookmarkEnd w:id="18"/>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青岛华烁高科新能源技术有限公司始终坚定地贯彻执行“质量第一、用户至上”的基本宗旨，重质量、讲信誉是企业的一贯承诺。在“创新+产品+服务+增值”的核心引领下，建立具有责任意识、创新精神、敬业进取、和谐共赢的企业文化。</w:t>
      </w:r>
    </w:p>
    <w:p>
      <w:pPr>
        <w:pStyle w:val="9"/>
        <w:numPr>
          <w:ilvl w:val="0"/>
          <w:numId w:val="3"/>
        </w:numPr>
        <w:adjustRightInd w:val="0"/>
        <w:snapToGrid w:val="0"/>
        <w:spacing w:line="360" w:lineRule="auto"/>
        <w:ind w:firstLineChars="0"/>
        <w:rPr>
          <w:rFonts w:hint="eastAsia" w:ascii="宋体" w:hAnsi="宋体"/>
          <w:bCs/>
          <w:sz w:val="24"/>
        </w:rPr>
      </w:pPr>
      <w:r>
        <w:rPr>
          <w:rFonts w:hint="eastAsia" w:ascii="宋体" w:hAnsi="宋体"/>
          <w:bCs/>
          <w:sz w:val="24"/>
        </w:rPr>
        <w:t>我们的愿景：</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以人为本、和衷共济</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超越自我、兴业百年</w:t>
      </w:r>
    </w:p>
    <w:p>
      <w:pPr>
        <w:pStyle w:val="9"/>
        <w:numPr>
          <w:ilvl w:val="0"/>
          <w:numId w:val="3"/>
        </w:numPr>
        <w:adjustRightInd w:val="0"/>
        <w:snapToGrid w:val="0"/>
        <w:spacing w:line="360" w:lineRule="auto"/>
        <w:ind w:firstLineChars="0"/>
        <w:rPr>
          <w:rFonts w:hint="eastAsia" w:ascii="宋体" w:hAnsi="宋体"/>
          <w:bCs/>
          <w:sz w:val="24"/>
        </w:rPr>
      </w:pPr>
      <w:r>
        <w:rPr>
          <w:rFonts w:ascii="宋体" w:hAnsi="宋体"/>
          <w:bCs/>
          <w:sz w:val="24"/>
        </w:rPr>
        <w:drawing>
          <wp:anchor distT="0" distB="0" distL="114300" distR="114300" simplePos="0" relativeHeight="251659264" behindDoc="0" locked="0" layoutInCell="1" allowOverlap="1">
            <wp:simplePos x="0" y="0"/>
            <wp:positionH relativeFrom="column">
              <wp:posOffset>2933700</wp:posOffset>
            </wp:positionH>
            <wp:positionV relativeFrom="page">
              <wp:posOffset>4552950</wp:posOffset>
            </wp:positionV>
            <wp:extent cx="2283460" cy="2343150"/>
            <wp:effectExtent l="0" t="0" r="2540" b="0"/>
            <wp:wrapSquare wrapText="lef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83460" cy="2343150"/>
                    </a:xfrm>
                    <a:prstGeom prst="rect">
                      <a:avLst/>
                    </a:prstGeom>
                    <a:noFill/>
                  </pic:spPr>
                </pic:pic>
              </a:graphicData>
            </a:graphic>
          </wp:anchor>
        </w:drawing>
      </w:r>
      <w:r>
        <w:rPr>
          <w:rFonts w:hint="eastAsia" w:ascii="宋体" w:hAnsi="宋体"/>
          <w:bCs/>
          <w:sz w:val="24"/>
        </w:rPr>
        <w:t>我们的使命：</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建设学习团队、提升整体素质</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完善创新体系、增强竞争实力</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恪守诚信方针、追求卓越品质</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弘扬奉献精神、营造发展优势</w:t>
      </w:r>
    </w:p>
    <w:p>
      <w:pPr>
        <w:pStyle w:val="9"/>
        <w:numPr>
          <w:ilvl w:val="0"/>
          <w:numId w:val="4"/>
        </w:numPr>
        <w:adjustRightInd w:val="0"/>
        <w:snapToGrid w:val="0"/>
        <w:spacing w:line="360" w:lineRule="auto"/>
        <w:ind w:firstLineChars="0"/>
        <w:rPr>
          <w:rFonts w:hint="eastAsia" w:ascii="宋体" w:hAnsi="宋体"/>
          <w:bCs/>
          <w:sz w:val="24"/>
        </w:rPr>
      </w:pPr>
      <w:r>
        <w:rPr>
          <w:rFonts w:hint="eastAsia" w:ascii="宋体" w:hAnsi="宋体"/>
          <w:bCs/>
          <w:sz w:val="24"/>
        </w:rPr>
        <w:t>我们的核心价值观：</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诚信——立诚守信、言真行实</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创新——与时俱进、开拓创新</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业绩——业绩至上、创造卓越</w:t>
      </w:r>
    </w:p>
    <w:p>
      <w:pPr>
        <w:adjustRightInd w:val="0"/>
        <w:snapToGrid w:val="0"/>
        <w:spacing w:line="360" w:lineRule="auto"/>
        <w:ind w:firstLine="480" w:firstLineChars="200"/>
        <w:rPr>
          <w:rFonts w:ascii="宋体" w:hAnsi="宋体"/>
          <w:bCs/>
          <w:sz w:val="24"/>
        </w:rPr>
      </w:pPr>
      <w:r>
        <w:rPr>
          <w:rFonts w:hint="eastAsia" w:ascii="宋体" w:hAnsi="宋体"/>
          <w:bCs/>
          <w:sz w:val="24"/>
        </w:rPr>
        <w:t>和谐——团结协作、营造和谐</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公司现已建立起了完善的质量、环境、职业健康安全综合管理体系，先后通过ISO9001质量管理体系、ISO14001环境管理体系和OHSAS18001职业健康安全管理体系认证，同时还获得了ISO10012</w:t>
      </w:r>
      <w:r>
        <w:rPr>
          <w:rFonts w:hint="eastAsia" w:ascii="宋体" w:hAnsi="宋体"/>
          <w:bCs/>
          <w:sz w:val="24"/>
          <w:lang w:eastAsia="zh-CN"/>
        </w:rPr>
        <w:t>测量管理体系认证</w:t>
      </w:r>
      <w:r>
        <w:rPr>
          <w:rFonts w:hint="eastAsia" w:ascii="宋体" w:hAnsi="宋体"/>
          <w:bCs/>
          <w:sz w:val="24"/>
        </w:rPr>
        <w:t>。组织机构健全，管理队伍精干，产品设计、制造全过程均处于受控状态。产品质量稳定可靠，在广大用户心目中树立了良好的信誉和形象。</w:t>
      </w:r>
    </w:p>
    <w:p>
      <w:pPr>
        <w:adjustRightInd w:val="0"/>
        <w:snapToGrid w:val="0"/>
        <w:spacing w:line="360" w:lineRule="auto"/>
        <w:ind w:firstLine="480" w:firstLineChars="200"/>
        <w:rPr>
          <w:rFonts w:hint="eastAsia" w:ascii="宋体" w:hAnsi="宋体"/>
          <w:bCs/>
          <w:sz w:val="24"/>
        </w:rPr>
      </w:pPr>
    </w:p>
    <w:p>
      <w:pPr>
        <w:adjustRightInd w:val="0"/>
        <w:snapToGrid w:val="0"/>
        <w:spacing w:line="360" w:lineRule="auto"/>
      </w:pPr>
    </w:p>
    <w:p>
      <w:pPr>
        <w:pStyle w:val="9"/>
        <w:numPr>
          <w:ilvl w:val="0"/>
          <w:numId w:val="2"/>
        </w:numPr>
        <w:ind w:firstLineChars="0"/>
        <w:outlineLvl w:val="1"/>
        <w:rPr>
          <w:rFonts w:asciiTheme="minorEastAsia" w:hAnsiTheme="minorEastAsia"/>
          <w:b/>
          <w:sz w:val="28"/>
        </w:rPr>
      </w:pPr>
      <w:bookmarkStart w:id="19" w:name="_Toc27195_WPSOffice_Level2"/>
      <w:r>
        <w:rPr>
          <w:rFonts w:asciiTheme="minorEastAsia" w:hAnsiTheme="minorEastAsia"/>
          <w:b/>
          <w:sz w:val="28"/>
        </w:rPr>
        <w:t>企业质量管理</w:t>
      </w:r>
      <w:bookmarkEnd w:id="19"/>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青岛华烁高科新能源技术有限公司始终树立用户至上的服务理念，提供优质、高效、持续的服务，建立日渐完善的服务网络。</w:t>
      </w:r>
    </w:p>
    <w:p>
      <w:pPr>
        <w:pStyle w:val="9"/>
        <w:numPr>
          <w:ilvl w:val="0"/>
          <w:numId w:val="5"/>
        </w:numPr>
        <w:adjustRightInd w:val="0"/>
        <w:snapToGrid w:val="0"/>
        <w:spacing w:before="156" w:beforeLines="50" w:after="156" w:afterLines="50" w:line="360" w:lineRule="auto"/>
        <w:ind w:firstLineChars="0"/>
        <w:outlineLvl w:val="2"/>
        <w:rPr>
          <w:rFonts w:ascii="宋体" w:hAnsi="宋体"/>
          <w:b/>
          <w:bCs/>
          <w:sz w:val="24"/>
        </w:rPr>
      </w:pPr>
      <w:bookmarkStart w:id="20" w:name="_Toc18465_WPSOffice_Level3"/>
      <w:r>
        <w:rPr>
          <w:rFonts w:hint="eastAsia" w:ascii="宋体" w:hAnsi="宋体"/>
          <w:b/>
          <w:bCs/>
          <w:sz w:val="24"/>
        </w:rPr>
        <w:t>质量管理机构</w:t>
      </w:r>
      <w:bookmarkEnd w:id="20"/>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华烁高科依据精简高效的原则，建立了职能式管理的组织机构，设立了管理者代表，对公司的决策层、各工作岗位建立了详细的工作标准，制定了各部门职责条例。</w:t>
      </w:r>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各部门各司其职、相互沟通配合， 销售、技术研发、采购、来料检验、仓储、工艺准备、生产、检验、成品储运等运作流程脉络清晰流畅。</w:t>
      </w:r>
    </w:p>
    <w:p>
      <w:pPr>
        <w:adjustRightInd w:val="0"/>
        <w:snapToGrid w:val="0"/>
        <w:spacing w:before="156" w:beforeLines="50" w:after="156" w:afterLines="50" w:line="360" w:lineRule="auto"/>
        <w:rPr>
          <w:rFonts w:ascii="宋体" w:hAnsi="宋体"/>
          <w:bCs/>
          <w:sz w:val="24"/>
        </w:rPr>
      </w:pPr>
      <w:r>
        <w:rPr>
          <w:rFonts w:hint="eastAsia" w:ascii="仿宋_GB2312" w:eastAsia="仿宋_GB2312"/>
          <w:sz w:val="24"/>
        </w:rPr>
        <w:drawing>
          <wp:inline distT="0" distB="0" distL="0" distR="0">
            <wp:extent cx="5351780" cy="2456815"/>
            <wp:effectExtent l="0" t="0" r="127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48030" cy="2501576"/>
                    </a:xfrm>
                    <a:prstGeom prst="rect">
                      <a:avLst/>
                    </a:prstGeom>
                    <a:noFill/>
                    <a:ln>
                      <a:noFill/>
                    </a:ln>
                  </pic:spPr>
                </pic:pic>
              </a:graphicData>
            </a:graphic>
          </wp:inline>
        </w:drawing>
      </w:r>
    </w:p>
    <w:p>
      <w:pPr>
        <w:adjustRightInd w:val="0"/>
        <w:snapToGrid w:val="0"/>
        <w:spacing w:before="156" w:beforeLines="50" w:after="156" w:afterLines="50" w:line="360" w:lineRule="auto"/>
        <w:ind w:firstLine="422" w:firstLineChars="200"/>
        <w:jc w:val="center"/>
        <w:rPr>
          <w:rFonts w:ascii="宋体" w:hAnsi="宋体"/>
          <w:b/>
          <w:bCs/>
        </w:rPr>
      </w:pPr>
      <w:r>
        <w:rPr>
          <w:rFonts w:ascii="宋体" w:hAnsi="宋体"/>
          <w:b/>
          <w:bCs/>
        </w:rPr>
        <w:t>图</w:t>
      </w:r>
      <w:r>
        <w:rPr>
          <w:rFonts w:hint="eastAsia" w:ascii="宋体" w:hAnsi="宋体"/>
          <w:b/>
          <w:bCs/>
        </w:rPr>
        <w:t xml:space="preserve">1 </w:t>
      </w:r>
      <w:r>
        <w:rPr>
          <w:rFonts w:ascii="宋体" w:hAnsi="宋体"/>
          <w:b/>
          <w:bCs/>
        </w:rPr>
        <w:t xml:space="preserve">  质量管理机构图</w:t>
      </w:r>
    </w:p>
    <w:p>
      <w:pPr>
        <w:pStyle w:val="9"/>
        <w:numPr>
          <w:ilvl w:val="0"/>
          <w:numId w:val="5"/>
        </w:numPr>
        <w:adjustRightInd w:val="0"/>
        <w:snapToGrid w:val="0"/>
        <w:spacing w:before="156" w:beforeLines="50" w:after="156" w:afterLines="50" w:line="360" w:lineRule="auto"/>
        <w:ind w:firstLineChars="0"/>
        <w:outlineLvl w:val="2"/>
        <w:rPr>
          <w:rFonts w:ascii="宋体" w:hAnsi="宋体"/>
          <w:b/>
          <w:bCs/>
          <w:sz w:val="24"/>
        </w:rPr>
      </w:pPr>
      <w:bookmarkStart w:id="21" w:name="_Toc27195_WPSOffice_Level3"/>
      <w:r>
        <w:rPr>
          <w:rFonts w:ascii="宋体" w:hAnsi="宋体"/>
          <w:b/>
          <w:bCs/>
          <w:sz w:val="24"/>
        </w:rPr>
        <w:t>质量管理体系</w:t>
      </w:r>
      <w:bookmarkEnd w:id="21"/>
    </w:p>
    <w:p>
      <w:pPr>
        <w:pStyle w:val="9"/>
        <w:numPr>
          <w:ilvl w:val="0"/>
          <w:numId w:val="6"/>
        </w:numPr>
        <w:adjustRightInd w:val="0"/>
        <w:snapToGrid w:val="0"/>
        <w:spacing w:line="360" w:lineRule="auto"/>
        <w:ind w:firstLineChars="0"/>
        <w:outlineLvl w:val="3"/>
        <w:rPr>
          <w:rFonts w:ascii="宋体" w:hAnsi="宋体"/>
          <w:bCs/>
          <w:sz w:val="24"/>
        </w:rPr>
      </w:pPr>
      <w:r>
        <w:rPr>
          <w:rFonts w:hint="eastAsia" w:ascii="宋体" w:hAnsi="宋体"/>
          <w:bCs/>
          <w:sz w:val="24"/>
        </w:rPr>
        <w:t>质量管理方针</w:t>
      </w:r>
    </w:p>
    <w:p>
      <w:pPr>
        <w:adjustRightInd w:val="0"/>
        <w:snapToGrid w:val="0"/>
        <w:spacing w:line="360" w:lineRule="auto"/>
        <w:ind w:firstLine="480" w:firstLineChars="200"/>
        <w:rPr>
          <w:rFonts w:ascii="宋体" w:hAnsi="宋体"/>
          <w:bCs/>
          <w:sz w:val="24"/>
        </w:rPr>
      </w:pPr>
      <w:r>
        <w:rPr>
          <w:rFonts w:hint="eastAsia" w:ascii="宋体" w:hAnsi="宋体"/>
          <w:bCs/>
          <w:sz w:val="24"/>
        </w:rPr>
        <w:t>用户至上，优质高效，实施名牌，争创一流。</w:t>
      </w:r>
    </w:p>
    <w:p>
      <w:pPr>
        <w:adjustRightInd w:val="0"/>
        <w:snapToGrid w:val="0"/>
        <w:spacing w:line="360" w:lineRule="auto"/>
        <w:ind w:firstLine="480" w:firstLineChars="200"/>
        <w:rPr>
          <w:rFonts w:ascii="宋体" w:hAnsi="宋体"/>
          <w:bCs/>
          <w:sz w:val="24"/>
        </w:rPr>
      </w:pPr>
      <w:r>
        <w:rPr>
          <w:rFonts w:hint="eastAsia" w:ascii="宋体" w:hAnsi="宋体"/>
          <w:bCs/>
          <w:sz w:val="24"/>
        </w:rPr>
        <w:t>以可靠的产品设计质量、先进的技术装备和完善的质量保证手段，提供满足所有顾客质量要求的产品和服务。</w:t>
      </w:r>
    </w:p>
    <w:p>
      <w:pPr>
        <w:adjustRightInd w:val="0"/>
        <w:snapToGrid w:val="0"/>
        <w:spacing w:line="360" w:lineRule="auto"/>
        <w:ind w:firstLine="480" w:firstLineChars="200"/>
        <w:rPr>
          <w:rFonts w:ascii="宋体" w:hAnsi="宋体"/>
          <w:bCs/>
          <w:sz w:val="24"/>
        </w:rPr>
      </w:pPr>
      <w:r>
        <w:rPr>
          <w:rFonts w:hint="eastAsia" w:ascii="宋体" w:hAnsi="宋体"/>
          <w:bCs/>
          <w:sz w:val="24"/>
        </w:rPr>
        <w:t>以顾客为本，坚持并持续改进产品的设计质量、技术装备，追求卓越产品，为顾客创造价值。</w:t>
      </w:r>
    </w:p>
    <w:p>
      <w:pPr>
        <w:adjustRightInd w:val="0"/>
        <w:snapToGrid w:val="0"/>
        <w:spacing w:line="360" w:lineRule="auto"/>
        <w:ind w:firstLine="480" w:firstLineChars="200"/>
        <w:rPr>
          <w:rFonts w:ascii="宋体" w:hAnsi="宋体"/>
          <w:bCs/>
          <w:sz w:val="24"/>
        </w:rPr>
      </w:pPr>
      <w:r>
        <w:rPr>
          <w:rFonts w:hint="eastAsia" w:ascii="宋体" w:hAnsi="宋体"/>
          <w:bCs/>
          <w:sz w:val="24"/>
        </w:rPr>
        <w:t>在质量方针指导下，通过建立专门的组织机构对目标指标的制定和实施进行监测，并对各目标指标系统进行不断完善更新。在体系运行过程中，公司运用各种科学、有效的方法，测量、分析、整理各单位及所有层次、过程的绩效数据和信息。公司采用了基于 PDCA 循环的系统、全面的改进方法来管理改进过程。 公司倡导并采用了多种工具来改进公司各部门、各层次的绩效，并根据测评结果采用学习和创新方式， 不断修正战略目标和计划，坚持改进和调整。确保公司长、短期战略目标地实现。</w:t>
      </w:r>
    </w:p>
    <w:p>
      <w:pPr>
        <w:pStyle w:val="9"/>
        <w:numPr>
          <w:ilvl w:val="0"/>
          <w:numId w:val="6"/>
        </w:numPr>
        <w:adjustRightInd w:val="0"/>
        <w:snapToGrid w:val="0"/>
        <w:spacing w:line="360" w:lineRule="auto"/>
        <w:ind w:firstLineChars="0"/>
        <w:outlineLvl w:val="3"/>
        <w:rPr>
          <w:rFonts w:ascii="宋体" w:hAnsi="宋体"/>
          <w:bCs/>
          <w:sz w:val="24"/>
        </w:rPr>
      </w:pPr>
      <w:r>
        <w:rPr>
          <w:rFonts w:hint="eastAsia" w:ascii="宋体" w:hAnsi="宋体"/>
          <w:bCs/>
          <w:sz w:val="24"/>
        </w:rPr>
        <w:t>质量管理体系的建立</w:t>
      </w:r>
    </w:p>
    <w:p>
      <w:pPr>
        <w:adjustRightInd w:val="0"/>
        <w:snapToGrid w:val="0"/>
        <w:spacing w:line="360" w:lineRule="auto"/>
        <w:ind w:firstLine="480" w:firstLineChars="200"/>
        <w:rPr>
          <w:rFonts w:ascii="宋体" w:hAnsi="宋体"/>
          <w:bCs/>
          <w:sz w:val="24"/>
        </w:rPr>
      </w:pPr>
      <w:r>
        <w:rPr>
          <w:rFonts w:hint="eastAsia" w:ascii="宋体" w:hAnsi="宋体"/>
          <w:bCs/>
          <w:sz w:val="24"/>
        </w:rPr>
        <w:t>青岛华烁高科新能源技术有限公司自2</w:t>
      </w:r>
      <w:r>
        <w:rPr>
          <w:rFonts w:ascii="宋体" w:hAnsi="宋体"/>
          <w:bCs/>
          <w:sz w:val="24"/>
        </w:rPr>
        <w:t>015</w:t>
      </w:r>
      <w:r>
        <w:rPr>
          <w:rFonts w:hint="eastAsia" w:ascii="宋体" w:hAnsi="宋体"/>
          <w:bCs/>
          <w:sz w:val="24"/>
        </w:rPr>
        <w:t>年开始推行 ISO9001 质量管理体系，企业始终坚定地贯彻执行“质量第一、用户至上”的基本宗旨，现已建立起了完善的质量、环境、职业健康安全综合管理体系，先后通过ISO9001质量管理体系、ISO14001环境管理体系和OHSAS18001职业健康安全管理体系认证，同时还获得了ISO10012</w:t>
      </w:r>
      <w:r>
        <w:rPr>
          <w:rFonts w:hint="eastAsia" w:ascii="宋体" w:hAnsi="宋体"/>
          <w:bCs/>
          <w:sz w:val="24"/>
          <w:lang w:eastAsia="zh-CN"/>
        </w:rPr>
        <w:t>测量管理体系认证</w:t>
      </w:r>
      <w:r>
        <w:rPr>
          <w:rFonts w:hint="eastAsia" w:ascii="宋体" w:hAnsi="宋体"/>
          <w:bCs/>
          <w:sz w:val="24"/>
        </w:rPr>
        <w:t xml:space="preserve">。组织机构健全，管理队伍精干，产品设计、制造全过程均处于受控状态。 </w:t>
      </w:r>
    </w:p>
    <w:p>
      <w:pPr>
        <w:pStyle w:val="9"/>
        <w:numPr>
          <w:ilvl w:val="0"/>
          <w:numId w:val="6"/>
        </w:numPr>
        <w:adjustRightInd w:val="0"/>
        <w:snapToGrid w:val="0"/>
        <w:spacing w:line="360" w:lineRule="auto"/>
        <w:ind w:firstLineChars="0"/>
        <w:outlineLvl w:val="3"/>
        <w:rPr>
          <w:rFonts w:hint="eastAsia" w:ascii="宋体" w:hAnsi="宋体"/>
          <w:bCs/>
          <w:sz w:val="24"/>
        </w:rPr>
      </w:pPr>
      <w:r>
        <w:rPr>
          <w:rFonts w:hint="eastAsia" w:ascii="宋体" w:hAnsi="宋体"/>
          <w:bCs/>
          <w:sz w:val="24"/>
        </w:rPr>
        <w:t>质量管理方法</w:t>
      </w:r>
    </w:p>
    <w:p>
      <w:pPr>
        <w:adjustRightInd w:val="0"/>
        <w:snapToGrid w:val="0"/>
        <w:spacing w:line="360" w:lineRule="auto"/>
        <w:ind w:firstLine="480" w:firstLineChars="200"/>
        <w:rPr>
          <w:rFonts w:ascii="宋体" w:hAnsi="宋体"/>
          <w:bCs/>
          <w:sz w:val="24"/>
        </w:rPr>
      </w:pPr>
      <w:r>
        <w:rPr>
          <w:rFonts w:hint="eastAsia" w:ascii="宋体" w:hAnsi="宋体"/>
          <w:bCs/>
          <w:sz w:val="24"/>
        </w:rPr>
        <w:t xml:space="preserve">公司建立了相应的体系审核管理办法，并根据内部审核需要培养了培训合格的内审员。为确保体系运行的有效性和持续改进，根据体系审核规定，公司定期对内部各单位进行体系抽样检查，开展覆盖全公司范围的体系内审，对于审核发现的不符合项，公司组织各责任单位进行分析原因，制定纠正措施与预防控制措施，责任单位根据纠正预防措施落实整改，并评价整改效果，各问题整改验证合格后关闭。最终形成内部审核报告，对体系的整改及不合格项的预防提出建议，并作为管理评审的一个重要输入，报告管理者。 </w:t>
      </w:r>
    </w:p>
    <w:p>
      <w:pPr>
        <w:adjustRightInd w:val="0"/>
        <w:snapToGrid w:val="0"/>
        <w:spacing w:line="360" w:lineRule="auto"/>
        <w:ind w:firstLine="480" w:firstLineChars="200"/>
        <w:rPr>
          <w:rFonts w:ascii="宋体" w:hAnsi="宋体"/>
          <w:bCs/>
          <w:sz w:val="24"/>
        </w:rPr>
      </w:pPr>
      <w:r>
        <w:rPr>
          <w:rFonts w:hint="eastAsia" w:ascii="宋体" w:hAnsi="宋体"/>
          <w:bCs/>
          <w:sz w:val="24"/>
        </w:rPr>
        <w:t>管理者代表负责审批内部审核计划、任命内审小组组长和成员、安排具体审核分工，为保证内部管理体系审核的正常运行而提供相应的资源并审批内部审核报告。产品质量事业部在管理者代表领导下，按年度审核计划进行公司内部管理体系审核工作，各事业部按照规定承担相应的职责与权限。</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综上所述，华烁高科建立了独具特色的质量管理体系，该体系强调系统优化与过程方法，在各系统、各过程充分应用 PDCA 循环，持续改善、追求卓越。</w:t>
      </w:r>
    </w:p>
    <w:p>
      <w:pPr>
        <w:adjustRightInd w:val="0"/>
        <w:snapToGrid w:val="0"/>
        <w:spacing w:line="360" w:lineRule="auto"/>
        <w:ind w:firstLine="480" w:firstLineChars="200"/>
        <w:rPr>
          <w:rFonts w:hint="eastAsia" w:ascii="宋体" w:hAnsi="宋体"/>
          <w:bCs/>
          <w:sz w:val="24"/>
        </w:rPr>
      </w:pPr>
    </w:p>
    <w:p>
      <w:pPr>
        <w:adjustRightInd w:val="0"/>
        <w:snapToGrid w:val="0"/>
        <w:spacing w:line="360" w:lineRule="auto"/>
        <w:ind w:firstLine="480" w:firstLineChars="200"/>
        <w:rPr>
          <w:rFonts w:hint="eastAsia" w:ascii="宋体" w:hAnsi="宋体"/>
          <w:bCs/>
          <w:sz w:val="24"/>
        </w:rPr>
      </w:pPr>
    </w:p>
    <w:p>
      <w:pPr>
        <w:pStyle w:val="9"/>
        <w:numPr>
          <w:ilvl w:val="0"/>
          <w:numId w:val="2"/>
        </w:numPr>
        <w:ind w:firstLineChars="0"/>
        <w:outlineLvl w:val="1"/>
        <w:rPr>
          <w:rFonts w:asciiTheme="minorEastAsia" w:hAnsiTheme="minorEastAsia"/>
          <w:b/>
          <w:sz w:val="28"/>
        </w:rPr>
      </w:pPr>
      <w:bookmarkStart w:id="22" w:name="_Toc109_WPSOffice_Level2"/>
      <w:r>
        <w:rPr>
          <w:rFonts w:hint="eastAsia" w:asciiTheme="minorEastAsia" w:hAnsiTheme="minorEastAsia"/>
          <w:b/>
          <w:sz w:val="28"/>
        </w:rPr>
        <w:t>企业质量诚信</w:t>
      </w:r>
      <w:bookmarkEnd w:id="22"/>
    </w:p>
    <w:p>
      <w:pPr>
        <w:pStyle w:val="9"/>
        <w:numPr>
          <w:ilvl w:val="0"/>
          <w:numId w:val="7"/>
        </w:numPr>
        <w:adjustRightInd w:val="0"/>
        <w:snapToGrid w:val="0"/>
        <w:spacing w:before="156" w:beforeLines="50" w:after="156" w:afterLines="50" w:line="360" w:lineRule="auto"/>
        <w:ind w:firstLineChars="0"/>
        <w:outlineLvl w:val="2"/>
        <w:rPr>
          <w:rFonts w:ascii="宋体" w:hAnsi="宋体"/>
          <w:b/>
          <w:bCs/>
          <w:sz w:val="24"/>
        </w:rPr>
      </w:pPr>
      <w:bookmarkStart w:id="23" w:name="_Toc109_WPSOffice_Level3"/>
      <w:r>
        <w:rPr>
          <w:rFonts w:hint="eastAsia" w:ascii="宋体" w:hAnsi="宋体"/>
          <w:b/>
          <w:bCs/>
          <w:sz w:val="24"/>
        </w:rPr>
        <w:t>质量诚信管理</w:t>
      </w:r>
      <w:bookmarkEnd w:id="23"/>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公司建立了质量诚信管理制度，覆盖了设计、采购、生产、检验、流通、售后服务全过程的质量诚信制度，加强员工质量责任感和质量诚信意识的教育，开展质量诚信承诺活动。</w:t>
      </w:r>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 xml:space="preserve">以企业质量诚信体系建设为载体，以质量法制意识和质量诚信意识教育为主要内容，加强企业质量诚信文化宣传和教育，引导和推动公司员工弘扬诚信传统美德，增加法制意识、 责任意识、质量诚信意识，形成了“诚信至上、以质取胜”的质量文化。 </w:t>
      </w:r>
      <w:r>
        <w:rPr>
          <w:rFonts w:ascii="宋体" w:hAnsi="宋体"/>
          <w:bCs/>
          <w:sz w:val="24"/>
        </w:rPr>
        <w:t xml:space="preserve"> </w:t>
      </w:r>
    </w:p>
    <w:p>
      <w:pPr>
        <w:pStyle w:val="9"/>
        <w:numPr>
          <w:ilvl w:val="0"/>
          <w:numId w:val="7"/>
        </w:numPr>
        <w:adjustRightInd w:val="0"/>
        <w:snapToGrid w:val="0"/>
        <w:spacing w:before="156" w:beforeLines="50" w:after="156" w:afterLines="50" w:line="360" w:lineRule="auto"/>
        <w:ind w:firstLineChars="0"/>
        <w:outlineLvl w:val="2"/>
        <w:rPr>
          <w:rFonts w:ascii="宋体" w:hAnsi="宋体"/>
          <w:b/>
          <w:bCs/>
          <w:sz w:val="24"/>
        </w:rPr>
      </w:pPr>
      <w:bookmarkStart w:id="24" w:name="_Toc21192_WPSOffice_Level3"/>
      <w:r>
        <w:rPr>
          <w:rFonts w:ascii="宋体" w:hAnsi="宋体"/>
          <w:b/>
          <w:bCs/>
          <w:sz w:val="24"/>
        </w:rPr>
        <w:t>质量文化建设</w:t>
      </w:r>
      <w:bookmarkEnd w:id="24"/>
    </w:p>
    <w:p>
      <w:pPr>
        <w:adjustRightInd w:val="0"/>
        <w:snapToGrid w:val="0"/>
        <w:spacing w:line="360" w:lineRule="auto"/>
        <w:ind w:firstLine="480" w:firstLineChars="200"/>
        <w:rPr>
          <w:rFonts w:ascii="宋体" w:hAnsi="宋体"/>
          <w:bCs/>
          <w:sz w:val="24"/>
        </w:rPr>
      </w:pPr>
      <w:r>
        <w:rPr>
          <w:rFonts w:hint="eastAsia" w:ascii="宋体" w:hAnsi="宋体"/>
          <w:bCs/>
          <w:sz w:val="24"/>
        </w:rPr>
        <w:t>在华烁高科的企业文化中，质量文化占据核心位置，自始至终树立用户至上的服务理念，用户的需要就是我们的着眼点，从产品设计到生产直至工程安装和售后服务，无不体现对用户的关心和体贴。</w:t>
      </w:r>
    </w:p>
    <w:p>
      <w:pPr>
        <w:adjustRightInd w:val="0"/>
        <w:snapToGrid w:val="0"/>
        <w:spacing w:line="360" w:lineRule="auto"/>
        <w:ind w:firstLine="480" w:firstLineChars="200"/>
        <w:rPr>
          <w:rFonts w:ascii="宋体" w:hAnsi="宋体"/>
          <w:bCs/>
          <w:sz w:val="24"/>
        </w:rPr>
      </w:pPr>
      <w:r>
        <w:rPr>
          <w:rFonts w:ascii="宋体" w:hAnsi="宋体"/>
          <w:bCs/>
          <w:sz w:val="24"/>
        </w:rPr>
        <w:t>公司</w:t>
      </w:r>
      <w:r>
        <w:rPr>
          <w:rFonts w:hint="eastAsia" w:ascii="宋体" w:hAnsi="宋体"/>
          <w:bCs/>
          <w:sz w:val="24"/>
        </w:rPr>
        <w:t>的质量目标是：实现出厂产品零故障率目标，顾客满意度达到100％。</w:t>
      </w:r>
    </w:p>
    <w:p>
      <w:pPr>
        <w:adjustRightInd w:val="0"/>
        <w:snapToGrid w:val="0"/>
        <w:spacing w:line="360" w:lineRule="auto"/>
        <w:ind w:firstLine="480" w:firstLineChars="200"/>
        <w:rPr>
          <w:rFonts w:ascii="宋体" w:hAnsi="宋体"/>
          <w:bCs/>
          <w:sz w:val="24"/>
        </w:rPr>
      </w:pPr>
      <w:r>
        <w:rPr>
          <w:rFonts w:hint="eastAsia" w:ascii="宋体" w:hAnsi="宋体"/>
          <w:bCs/>
          <w:sz w:val="24"/>
        </w:rPr>
        <w:t>质量方针是：以可靠的产品设计质量、先进的技术装备和完善的质量保证手段，提供满足所有顾客质量要求的产品和服务。以顾客为本，坚持并持续改进产品的设计质量、技术装备，追求卓越产品，为顾客创造价值。</w:t>
      </w:r>
    </w:p>
    <w:p>
      <w:pPr>
        <w:adjustRightInd w:val="0"/>
        <w:snapToGrid w:val="0"/>
        <w:spacing w:line="360" w:lineRule="auto"/>
        <w:ind w:firstLine="480" w:firstLineChars="200"/>
        <w:rPr>
          <w:rFonts w:ascii="宋体" w:hAnsi="宋体"/>
          <w:bCs/>
          <w:sz w:val="24"/>
        </w:rPr>
      </w:pPr>
      <w:r>
        <w:rPr>
          <w:rFonts w:hint="eastAsia" w:ascii="宋体" w:hAnsi="宋体"/>
          <w:bCs/>
          <w:sz w:val="24"/>
        </w:rPr>
        <w:t>质量承诺是：严守销售合同信誉，按时保质交货，保证提供顾客满意的产品。公司提供的产品，质保期内出现质量问题保修，长期提供服务。实行定性和定量服务，对顾客创造价值。</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 xml:space="preserve">华烁高科首先在理念层面上对质量意识形成了共识；其次在制度层面，通过绩效引导与规则制度，确保质量文化得到有效的固化；最后在要素层面，通过公司内部刊物、质量知识竞赛、质量标兵，等一系列活动，保证了质量文化的传承与发展。 </w:t>
      </w:r>
    </w:p>
    <w:p>
      <w:pPr>
        <w:adjustRightInd w:val="0"/>
        <w:snapToGrid w:val="0"/>
        <w:spacing w:line="360" w:lineRule="auto"/>
        <w:ind w:firstLine="480" w:firstLineChars="200"/>
        <w:rPr>
          <w:rFonts w:hint="eastAsia" w:ascii="宋体" w:hAnsi="宋体"/>
          <w:bCs/>
          <w:sz w:val="24"/>
        </w:rPr>
      </w:pPr>
    </w:p>
    <w:p>
      <w:pPr>
        <w:adjustRightInd w:val="0"/>
        <w:snapToGrid w:val="0"/>
        <w:spacing w:line="360" w:lineRule="auto"/>
        <w:ind w:firstLine="480" w:firstLineChars="200"/>
        <w:rPr>
          <w:rFonts w:hint="eastAsia" w:ascii="宋体" w:hAnsi="宋体"/>
          <w:bCs/>
          <w:sz w:val="24"/>
        </w:rPr>
      </w:pPr>
    </w:p>
    <w:p>
      <w:pPr>
        <w:adjustRightInd w:val="0"/>
        <w:snapToGrid w:val="0"/>
        <w:spacing w:line="360" w:lineRule="auto"/>
        <w:ind w:firstLine="480" w:firstLineChars="200"/>
        <w:rPr>
          <w:rFonts w:hint="eastAsia" w:ascii="宋体" w:hAnsi="宋体"/>
          <w:bCs/>
          <w:sz w:val="24"/>
        </w:rPr>
      </w:pPr>
    </w:p>
    <w:p>
      <w:pPr>
        <w:pStyle w:val="9"/>
        <w:numPr>
          <w:ilvl w:val="0"/>
          <w:numId w:val="2"/>
        </w:numPr>
        <w:ind w:firstLineChars="0"/>
        <w:outlineLvl w:val="1"/>
        <w:rPr>
          <w:rFonts w:asciiTheme="minorEastAsia" w:hAnsiTheme="minorEastAsia"/>
          <w:b/>
          <w:sz w:val="28"/>
        </w:rPr>
      </w:pPr>
      <w:bookmarkStart w:id="25" w:name="_Toc21192_WPSOffice_Level2"/>
      <w:r>
        <w:rPr>
          <w:rFonts w:hint="eastAsia" w:asciiTheme="minorEastAsia" w:hAnsiTheme="minorEastAsia"/>
          <w:b/>
          <w:sz w:val="28"/>
        </w:rPr>
        <w:t>企业质量基础</w:t>
      </w:r>
      <w:bookmarkEnd w:id="25"/>
    </w:p>
    <w:p>
      <w:pPr>
        <w:pStyle w:val="9"/>
        <w:numPr>
          <w:ilvl w:val="0"/>
          <w:numId w:val="8"/>
        </w:numPr>
        <w:adjustRightInd w:val="0"/>
        <w:snapToGrid w:val="0"/>
        <w:spacing w:before="156" w:beforeLines="50" w:after="156" w:afterLines="50" w:line="360" w:lineRule="auto"/>
        <w:ind w:firstLineChars="0"/>
        <w:outlineLvl w:val="2"/>
        <w:rPr>
          <w:rFonts w:ascii="宋体" w:hAnsi="宋体"/>
          <w:b/>
          <w:bCs/>
          <w:sz w:val="24"/>
        </w:rPr>
      </w:pPr>
      <w:bookmarkStart w:id="26" w:name="_Toc15765_WPSOffice_Level3"/>
      <w:r>
        <w:rPr>
          <w:rFonts w:hint="eastAsia" w:ascii="宋体" w:hAnsi="宋体"/>
          <w:b/>
          <w:bCs/>
          <w:sz w:val="24"/>
        </w:rPr>
        <w:t>企业产品标准</w:t>
      </w:r>
      <w:bookmarkEnd w:id="26"/>
    </w:p>
    <w:p>
      <w:pPr>
        <w:adjustRightInd w:val="0"/>
        <w:snapToGrid w:val="0"/>
        <w:spacing w:line="360" w:lineRule="auto"/>
        <w:ind w:firstLine="480" w:firstLineChars="200"/>
        <w:rPr>
          <w:rFonts w:ascii="宋体" w:hAnsi="宋体"/>
          <w:bCs/>
          <w:sz w:val="24"/>
        </w:rPr>
      </w:pPr>
      <w:r>
        <w:rPr>
          <w:rFonts w:hint="eastAsia" w:ascii="宋体" w:hAnsi="宋体"/>
          <w:bCs/>
          <w:sz w:val="24"/>
        </w:rPr>
        <w:t>公司认真贯彻执行国家、行业、和地方有关标准化的法律、法规、制度，重视研究和跟踪国际标准，所有产品均执行现行有效的国家、行业标准，并积极采用国际标准和国外先进标准。</w:t>
      </w:r>
    </w:p>
    <w:tbl>
      <w:tblPr>
        <w:tblStyle w:val="8"/>
        <w:tblpPr w:leftFromText="180" w:rightFromText="180" w:vertAnchor="text" w:horzAnchor="page" w:tblpX="1795" w:tblpY="16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250"/>
        <w:gridCol w:w="5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35" w:hRule="atLeast"/>
        </w:trPr>
        <w:tc>
          <w:tcPr>
            <w:tcW w:w="8522" w:type="dxa"/>
            <w:gridSpan w:val="3"/>
            <w:tcBorders>
              <w:top w:val="nil"/>
              <w:left w:val="nil"/>
              <w:bottom w:val="single" w:color="auto" w:sz="4" w:space="0"/>
              <w:right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Ascii"/>
                <w:sz w:val="24"/>
                <w:szCs w:val="24"/>
                <w:vertAlign w:val="baseline"/>
                <w:lang w:eastAsia="zh-CN"/>
              </w:rPr>
            </w:pPr>
            <w:r>
              <w:rPr>
                <w:rFonts w:hint="eastAsia" w:asciiTheme="majorEastAsia" w:hAnsiTheme="majorEastAsia" w:eastAsiaTheme="majorEastAsia" w:cstheme="majorEastAsia"/>
                <w:sz w:val="28"/>
                <w:szCs w:val="28"/>
                <w:vertAlign w:val="baseline"/>
                <w:lang w:eastAsia="zh-CN"/>
              </w:rPr>
              <w:t>青岛华烁高科新能源技术有限公司产品标准表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714" w:type="dxa"/>
            <w:tcBorders>
              <w:top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序号</w:t>
            </w:r>
          </w:p>
        </w:tc>
        <w:tc>
          <w:tcPr>
            <w:tcW w:w="2250" w:type="dxa"/>
            <w:tcBorders>
              <w:top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标准号</w:t>
            </w:r>
          </w:p>
        </w:tc>
        <w:tc>
          <w:tcPr>
            <w:tcW w:w="5558" w:type="dxa"/>
            <w:tcBorders>
              <w:top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vertAlign w:val="baseline"/>
              </w:rPr>
            </w:pPr>
            <w:r>
              <w:rPr>
                <w:rFonts w:hint="eastAsia" w:asciiTheme="minorEastAsia" w:hAnsiTheme="minorEastAsia" w:eastAsiaTheme="minorEastAsia" w:cstheme="minorEastAsia"/>
                <w:b w:val="0"/>
                <w:bCs w:val="0"/>
                <w:color w:val="auto"/>
                <w:sz w:val="21"/>
                <w:szCs w:val="21"/>
                <w:vertAlign w:val="baseline"/>
              </w:rPr>
              <w:t>GB/T 17215.301-2007</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vertAlign w:val="baseline"/>
              </w:rPr>
            </w:pPr>
            <w:r>
              <w:rPr>
                <w:rFonts w:hint="eastAsia" w:asciiTheme="minorEastAsia" w:hAnsiTheme="minorEastAsia" w:eastAsiaTheme="minorEastAsia" w:cstheme="minorEastAsia"/>
                <w:b w:val="0"/>
                <w:bCs w:val="0"/>
                <w:color w:val="auto"/>
                <w:sz w:val="21"/>
                <w:szCs w:val="21"/>
                <w:vertAlign w:val="baseline"/>
              </w:rPr>
              <w:t>多功能电能表 特殊要求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vertAlign w:val="baseline"/>
              </w:rPr>
            </w:pPr>
            <w:r>
              <w:rPr>
                <w:rFonts w:hint="eastAsia" w:asciiTheme="minorEastAsia" w:hAnsiTheme="minorEastAsia" w:eastAsiaTheme="minorEastAsia" w:cstheme="minorEastAsia"/>
                <w:b w:val="0"/>
                <w:bCs w:val="0"/>
                <w:color w:val="auto"/>
                <w:sz w:val="21"/>
                <w:szCs w:val="21"/>
                <w:vertAlign w:val="baseline"/>
              </w:rPr>
              <w:t>GB/T 17215.321-2008</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vertAlign w:val="baseline"/>
              </w:rPr>
            </w:pPr>
            <w:r>
              <w:rPr>
                <w:rFonts w:hint="eastAsia" w:asciiTheme="minorEastAsia" w:hAnsiTheme="minorEastAsia" w:eastAsiaTheme="minorEastAsia" w:cstheme="minorEastAsia"/>
                <w:b w:val="0"/>
                <w:bCs w:val="0"/>
                <w:color w:val="auto"/>
                <w:sz w:val="21"/>
                <w:szCs w:val="21"/>
                <w:vertAlign w:val="baseline"/>
              </w:rPr>
              <w:t>交流电测量设备 特殊要求 第21部分：静止式有功电能表（1级和2级）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3</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vertAlign w:val="baseline"/>
              </w:rPr>
            </w:pPr>
            <w:r>
              <w:rPr>
                <w:rFonts w:hint="eastAsia" w:asciiTheme="minorEastAsia" w:hAnsiTheme="minorEastAsia" w:eastAsiaTheme="minorEastAsia" w:cstheme="minorEastAsia"/>
                <w:b w:val="0"/>
                <w:bCs w:val="0"/>
                <w:color w:val="auto"/>
                <w:sz w:val="21"/>
                <w:szCs w:val="21"/>
                <w:vertAlign w:val="baseline"/>
              </w:rPr>
              <w:t>Q/HSGK 300-2017</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vertAlign w:val="baseline"/>
              </w:rPr>
            </w:pPr>
            <w:r>
              <w:rPr>
                <w:rFonts w:hint="eastAsia" w:asciiTheme="minorEastAsia" w:hAnsiTheme="minorEastAsia" w:eastAsiaTheme="minorEastAsia" w:cstheme="minorEastAsia"/>
                <w:b w:val="0"/>
                <w:bCs w:val="0"/>
                <w:color w:val="auto"/>
                <w:sz w:val="21"/>
                <w:szCs w:val="21"/>
                <w:vertAlign w:val="baseline"/>
              </w:rPr>
              <w:t>Q/HSGK 300-2017高压配电盒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4</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vertAlign w:val="baseline"/>
              </w:rPr>
            </w:pPr>
            <w:r>
              <w:rPr>
                <w:rFonts w:hint="eastAsia" w:asciiTheme="minorEastAsia" w:hAnsiTheme="minorEastAsia" w:eastAsiaTheme="minorEastAsia" w:cstheme="minorEastAsia"/>
                <w:b w:val="0"/>
                <w:bCs w:val="0"/>
                <w:color w:val="auto"/>
                <w:sz w:val="21"/>
                <w:szCs w:val="21"/>
              </w:rPr>
              <w:t>Q/HSGK 410-2017</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vertAlign w:val="baseline"/>
              </w:rPr>
            </w:pPr>
            <w:r>
              <w:rPr>
                <w:rFonts w:hint="eastAsia" w:asciiTheme="minorEastAsia" w:hAnsiTheme="minorEastAsia" w:eastAsiaTheme="minorEastAsia" w:cstheme="minorEastAsia"/>
                <w:b w:val="0"/>
                <w:bCs w:val="0"/>
                <w:color w:val="auto"/>
                <w:sz w:val="21"/>
                <w:szCs w:val="21"/>
              </w:rPr>
              <w:t>Q/HSGK 410-2017电动汽车便携式充电器（非计费）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5</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GB/T 11918.1-2014</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工业用插头插座和耦合器 第1部分：通用要求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6</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GB/T 7251.1-2013</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低压成套开关设备和控制设备 第1部分:总则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7</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NB/T 33007-2013</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电动汽车充电站/电池更换站监控系统与充换电设备通信协议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8</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GB/T 18487.3-2001</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电动车辆传导充电系统 电动车辆交流/直流充电机(站)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9</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GB/T 18487.2-2001</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电动车辆传导充电系统 电动车辆与交流/直流电源的连接要求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 w:hAnsi="仿宋" w:eastAsia="仿宋" w:cs="仿宋"/>
                <w:sz w:val="22"/>
                <w:szCs w:val="22"/>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10</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Q/HSGK 100-2017</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Q/HSGK 100-2017交流充电桩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11</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Q/HSGK 200-2017</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Q/HSGK 200-2017非车载直流充电机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12</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NB/T 33008.2-2013</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电动汽车充电设备检验试验规范 第2部分：交流充电桩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13</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QC/T 413-2002</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汽车电气设备基本技术条件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14</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GB/T 18487.1-2015</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电动汽车传导充电系统 第1部分：通用要求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15</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GB/T 20234.1-2015</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电动汽车传导充电用连接装置 第1部分：通用要求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16</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GB/T 20234.3-2015</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电动汽车传导充电用连接装置 第3部分：直流充电接口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17</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GB/T 20234.2-2015</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电动汽车传导充电用连接装置 第2部分：交流充电接口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18</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NB/T 33008.1-2013</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电动汽车充电设备检验试验规范 第1部分：非车载充电机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heme="minorEastAsia" w:hAnsi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19</w:t>
            </w:r>
          </w:p>
        </w:tc>
        <w:tc>
          <w:tcPr>
            <w:tcW w:w="22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QC/T 841-2010</w:t>
            </w:r>
          </w:p>
        </w:tc>
        <w:tc>
          <w:tcPr>
            <w:tcW w:w="555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电动汽车传导式充电接口</w:t>
            </w:r>
          </w:p>
        </w:tc>
      </w:tr>
    </w:tbl>
    <w:p>
      <w:pPr>
        <w:adjustRightInd w:val="0"/>
        <w:snapToGrid w:val="0"/>
        <w:spacing w:line="360" w:lineRule="auto"/>
        <w:jc w:val="center"/>
        <w:rPr>
          <w:rFonts w:ascii="宋体" w:hAnsi="宋体"/>
          <w:bCs/>
          <w:sz w:val="24"/>
        </w:rPr>
      </w:pPr>
    </w:p>
    <w:p>
      <w:pPr>
        <w:pStyle w:val="9"/>
        <w:numPr>
          <w:ilvl w:val="0"/>
          <w:numId w:val="8"/>
        </w:numPr>
        <w:adjustRightInd w:val="0"/>
        <w:snapToGrid w:val="0"/>
        <w:spacing w:before="156" w:beforeLines="50" w:after="156" w:afterLines="50" w:line="360" w:lineRule="auto"/>
        <w:ind w:firstLineChars="0"/>
        <w:outlineLvl w:val="2"/>
        <w:rPr>
          <w:rFonts w:ascii="宋体" w:hAnsi="宋体"/>
          <w:b/>
          <w:bCs/>
          <w:sz w:val="24"/>
        </w:rPr>
      </w:pPr>
      <w:bookmarkStart w:id="27" w:name="_Toc13697_WPSOffice_Level3"/>
      <w:r>
        <w:rPr>
          <w:rFonts w:ascii="宋体" w:hAnsi="宋体"/>
          <w:b/>
          <w:bCs/>
          <w:sz w:val="24"/>
        </w:rPr>
        <w:t>企业计量水平</w:t>
      </w:r>
      <w:bookmarkEnd w:id="27"/>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质量优先，计量先行。公司建立了完善的计量检测体系，建立健全各项计量管理制度，严格计量标准，使得计量工作程序化、管理标准化，保证测量设备和测量过程满足顾客、组织和法律法规对计量的要求。依据 ISO900</w:t>
      </w:r>
      <w:r>
        <w:rPr>
          <w:rFonts w:hint="eastAsia" w:ascii="宋体" w:hAnsi="宋体"/>
          <w:bCs/>
          <w:sz w:val="24"/>
          <w:lang w:val="en-US" w:eastAsia="zh-CN"/>
        </w:rPr>
        <w:t>1</w:t>
      </w:r>
      <w:r>
        <w:rPr>
          <w:rFonts w:hint="eastAsia" w:ascii="宋体" w:hAnsi="宋体"/>
          <w:bCs/>
          <w:sz w:val="24"/>
        </w:rPr>
        <w:t>质量管理体系要求，公司建立了计量管理体系及相关制度，并根据企业的发展需要，配置了计量检测设备，获得了ISO10012</w:t>
      </w:r>
      <w:r>
        <w:rPr>
          <w:rFonts w:hint="eastAsia" w:ascii="宋体" w:hAnsi="宋体"/>
          <w:bCs/>
          <w:sz w:val="24"/>
          <w:lang w:eastAsia="zh-CN"/>
        </w:rPr>
        <w:t>测量管理体系认证</w:t>
      </w:r>
      <w:r>
        <w:rPr>
          <w:rFonts w:hint="eastAsia" w:ascii="宋体" w:hAnsi="宋体"/>
          <w:bCs/>
          <w:sz w:val="24"/>
        </w:rPr>
        <w:t>。</w:t>
      </w:r>
    </w:p>
    <w:p>
      <w:pPr>
        <w:pStyle w:val="9"/>
        <w:numPr>
          <w:ilvl w:val="0"/>
          <w:numId w:val="8"/>
        </w:numPr>
        <w:adjustRightInd w:val="0"/>
        <w:snapToGrid w:val="0"/>
        <w:spacing w:before="156" w:beforeLines="50" w:after="156" w:afterLines="50" w:line="360" w:lineRule="auto"/>
        <w:ind w:firstLineChars="0"/>
        <w:outlineLvl w:val="2"/>
        <w:rPr>
          <w:rFonts w:ascii="宋体" w:hAnsi="宋体"/>
          <w:b/>
          <w:bCs/>
          <w:sz w:val="24"/>
        </w:rPr>
      </w:pPr>
      <w:bookmarkStart w:id="28" w:name="_Toc19188_WPSOffice_Level3"/>
      <w:r>
        <w:rPr>
          <w:rFonts w:ascii="宋体" w:hAnsi="宋体"/>
          <w:b/>
          <w:bCs/>
          <w:sz w:val="24"/>
        </w:rPr>
        <w:t>认证认可情况</w:t>
      </w:r>
      <w:bookmarkEnd w:id="28"/>
    </w:p>
    <w:p>
      <w:pPr>
        <w:adjustRightInd w:val="0"/>
        <w:snapToGrid w:val="0"/>
        <w:spacing w:line="360" w:lineRule="auto"/>
        <w:ind w:firstLine="480" w:firstLineChars="200"/>
        <w:rPr>
          <w:rFonts w:ascii="宋体" w:hAnsi="宋体"/>
          <w:bCs/>
          <w:sz w:val="24"/>
        </w:rPr>
      </w:pPr>
      <w:r>
        <w:rPr>
          <w:rFonts w:hint="eastAsia" w:ascii="宋体" w:hAnsi="宋体"/>
          <w:bCs/>
          <w:sz w:val="24"/>
        </w:rPr>
        <w:t>201</w:t>
      </w:r>
      <w:r>
        <w:rPr>
          <w:rFonts w:ascii="宋体" w:hAnsi="宋体"/>
          <w:bCs/>
          <w:sz w:val="24"/>
        </w:rPr>
        <w:t>5</w:t>
      </w:r>
      <w:r>
        <w:rPr>
          <w:rFonts w:hint="eastAsia" w:ascii="宋体" w:hAnsi="宋体"/>
          <w:bCs/>
          <w:sz w:val="24"/>
        </w:rPr>
        <w:t>．0</w:t>
      </w:r>
      <w:r>
        <w:rPr>
          <w:rFonts w:ascii="宋体" w:hAnsi="宋体"/>
          <w:bCs/>
          <w:sz w:val="24"/>
        </w:rPr>
        <w:t>7</w:t>
      </w:r>
      <w:r>
        <w:rPr>
          <w:rFonts w:hint="eastAsia" w:ascii="宋体" w:hAnsi="宋体"/>
          <w:bCs/>
          <w:sz w:val="24"/>
        </w:rPr>
        <w:t xml:space="preserve"> 获得 2</w:t>
      </w:r>
      <w:r>
        <w:rPr>
          <w:rFonts w:ascii="宋体" w:hAnsi="宋体"/>
          <w:bCs/>
          <w:sz w:val="24"/>
        </w:rPr>
        <w:t>015国际软件创新博览会优秀组织奖</w:t>
      </w:r>
      <w:r>
        <w:rPr>
          <w:rFonts w:hint="eastAsia" w:ascii="宋体" w:hAnsi="宋体"/>
          <w:bCs/>
          <w:sz w:val="24"/>
        </w:rPr>
        <w:t xml:space="preserve"> </w:t>
      </w:r>
    </w:p>
    <w:p>
      <w:pPr>
        <w:adjustRightInd w:val="0"/>
        <w:snapToGrid w:val="0"/>
        <w:spacing w:line="360" w:lineRule="auto"/>
        <w:ind w:firstLine="480" w:firstLineChars="200"/>
        <w:rPr>
          <w:rFonts w:ascii="宋体" w:hAnsi="宋体"/>
          <w:bCs/>
          <w:sz w:val="24"/>
        </w:rPr>
      </w:pPr>
      <w:r>
        <w:rPr>
          <w:rFonts w:hint="eastAsia" w:ascii="宋体" w:hAnsi="宋体"/>
          <w:bCs/>
          <w:sz w:val="24"/>
        </w:rPr>
        <w:t>201</w:t>
      </w:r>
      <w:r>
        <w:rPr>
          <w:rFonts w:ascii="宋体" w:hAnsi="宋体"/>
          <w:bCs/>
          <w:sz w:val="24"/>
        </w:rPr>
        <w:t>5</w:t>
      </w:r>
      <w:r>
        <w:rPr>
          <w:rFonts w:hint="eastAsia" w:ascii="宋体" w:hAnsi="宋体"/>
          <w:bCs/>
          <w:sz w:val="24"/>
        </w:rPr>
        <w:t>．0</w:t>
      </w:r>
      <w:r>
        <w:rPr>
          <w:rFonts w:ascii="宋体" w:hAnsi="宋体"/>
          <w:bCs/>
          <w:sz w:val="24"/>
        </w:rPr>
        <w:t>7</w:t>
      </w:r>
      <w:r>
        <w:rPr>
          <w:rFonts w:hint="eastAsia" w:ascii="宋体" w:hAnsi="宋体"/>
          <w:bCs/>
          <w:sz w:val="24"/>
        </w:rPr>
        <w:t xml:space="preserve"> 获得 2</w:t>
      </w:r>
      <w:r>
        <w:rPr>
          <w:rFonts w:ascii="宋体" w:hAnsi="宋体"/>
          <w:bCs/>
          <w:sz w:val="24"/>
        </w:rPr>
        <w:t>015国际软件创新博览会优秀</w:t>
      </w:r>
      <w:r>
        <w:rPr>
          <w:rFonts w:hint="eastAsia" w:ascii="宋体" w:hAnsi="宋体"/>
          <w:bCs/>
          <w:sz w:val="24"/>
        </w:rPr>
        <w:t>参赛产品</w:t>
      </w:r>
      <w:r>
        <w:rPr>
          <w:rFonts w:ascii="宋体" w:hAnsi="宋体"/>
          <w:bCs/>
          <w:sz w:val="24"/>
        </w:rPr>
        <w:t>奖</w:t>
      </w:r>
      <w:r>
        <w:rPr>
          <w:rFonts w:hint="eastAsia" w:ascii="宋体" w:hAnsi="宋体"/>
          <w:bCs/>
          <w:sz w:val="24"/>
        </w:rPr>
        <w:t xml:space="preserve"> </w:t>
      </w:r>
    </w:p>
    <w:p>
      <w:pPr>
        <w:adjustRightInd w:val="0"/>
        <w:snapToGrid w:val="0"/>
        <w:spacing w:line="360" w:lineRule="auto"/>
        <w:ind w:firstLine="480" w:firstLineChars="200"/>
        <w:rPr>
          <w:rFonts w:ascii="宋体" w:hAnsi="宋体"/>
          <w:bCs/>
          <w:sz w:val="24"/>
        </w:rPr>
      </w:pPr>
      <w:r>
        <w:rPr>
          <w:rFonts w:hint="eastAsia" w:ascii="宋体" w:hAnsi="宋体"/>
          <w:bCs/>
          <w:sz w:val="24"/>
        </w:rPr>
        <w:t>2016．1</w:t>
      </w:r>
      <w:r>
        <w:rPr>
          <w:rFonts w:ascii="宋体" w:hAnsi="宋体"/>
          <w:bCs/>
          <w:sz w:val="24"/>
        </w:rPr>
        <w:t>1</w:t>
      </w:r>
      <w:r>
        <w:rPr>
          <w:rFonts w:hint="eastAsia" w:ascii="宋体" w:hAnsi="宋体"/>
          <w:bCs/>
          <w:sz w:val="24"/>
        </w:rPr>
        <w:t xml:space="preserve"> 通过 </w:t>
      </w:r>
      <w:r>
        <w:rPr>
          <w:rFonts w:hint="eastAsia" w:ascii="宋体" w:hAnsi="宋体"/>
          <w:bCs/>
          <w:sz w:val="24"/>
          <w:lang w:val="en-US" w:eastAsia="zh-CN"/>
        </w:rPr>
        <w:t>TS</w:t>
      </w:r>
      <w:r>
        <w:rPr>
          <w:rFonts w:ascii="宋体" w:hAnsi="宋体"/>
          <w:bCs/>
          <w:sz w:val="24"/>
        </w:rPr>
        <w:t>16949:</w:t>
      </w:r>
      <w:r>
        <w:rPr>
          <w:rFonts w:hint="eastAsia" w:ascii="宋体" w:hAnsi="宋体"/>
          <w:bCs/>
          <w:sz w:val="24"/>
          <w:lang w:val="en-US" w:eastAsia="zh-CN"/>
        </w:rPr>
        <w:t xml:space="preserve"> 2009</w:t>
      </w:r>
      <w:r>
        <w:rPr>
          <w:rFonts w:hint="eastAsia" w:ascii="宋体" w:hAnsi="宋体"/>
          <w:bCs/>
          <w:sz w:val="24"/>
          <w:lang w:val="en-US" w:eastAsia="zh-CN"/>
        </w:rPr>
        <w:tab/>
        <w:t>汽车行业</w:t>
      </w:r>
      <w:r>
        <w:rPr>
          <w:rFonts w:ascii="宋体" w:hAnsi="宋体"/>
          <w:bCs/>
          <w:sz w:val="24"/>
        </w:rPr>
        <w:t>质量管理体系</w:t>
      </w:r>
      <w:r>
        <w:rPr>
          <w:rFonts w:hint="eastAsia" w:ascii="宋体" w:hAnsi="宋体"/>
          <w:bCs/>
          <w:sz w:val="24"/>
        </w:rPr>
        <w:t>认证</w:t>
      </w:r>
    </w:p>
    <w:p>
      <w:pPr>
        <w:adjustRightInd w:val="0"/>
        <w:snapToGrid w:val="0"/>
        <w:spacing w:line="360" w:lineRule="auto"/>
        <w:ind w:firstLine="480" w:firstLineChars="200"/>
        <w:rPr>
          <w:rFonts w:ascii="宋体" w:hAnsi="宋体"/>
          <w:bCs/>
          <w:sz w:val="24"/>
        </w:rPr>
      </w:pPr>
      <w:r>
        <w:rPr>
          <w:rFonts w:ascii="宋体" w:hAnsi="宋体"/>
          <w:bCs/>
          <w:sz w:val="24"/>
        </w:rPr>
        <w:t>2016</w:t>
      </w:r>
      <w:r>
        <w:rPr>
          <w:rFonts w:hint="eastAsia" w:ascii="宋体" w:hAnsi="宋体"/>
          <w:bCs/>
          <w:sz w:val="24"/>
        </w:rPr>
        <w:t>．1</w:t>
      </w:r>
      <w:r>
        <w:rPr>
          <w:rFonts w:ascii="宋体" w:hAnsi="宋体"/>
          <w:bCs/>
          <w:sz w:val="24"/>
        </w:rPr>
        <w:t xml:space="preserve">2 </w:t>
      </w:r>
      <w:r>
        <w:rPr>
          <w:rFonts w:hint="eastAsia" w:ascii="宋体" w:hAnsi="宋体"/>
          <w:bCs/>
          <w:sz w:val="24"/>
        </w:rPr>
        <w:t xml:space="preserve">通过 高新技术企业认证 </w:t>
      </w:r>
    </w:p>
    <w:p>
      <w:pPr>
        <w:adjustRightInd w:val="0"/>
        <w:snapToGrid w:val="0"/>
        <w:spacing w:line="360" w:lineRule="auto"/>
        <w:ind w:firstLine="480" w:firstLineChars="200"/>
        <w:rPr>
          <w:rFonts w:ascii="宋体" w:hAnsi="宋体"/>
          <w:bCs/>
          <w:sz w:val="24"/>
        </w:rPr>
      </w:pPr>
      <w:r>
        <w:rPr>
          <w:rFonts w:hint="eastAsia" w:ascii="宋体" w:hAnsi="宋体"/>
          <w:bCs/>
          <w:sz w:val="24"/>
        </w:rPr>
        <w:t>201</w:t>
      </w:r>
      <w:r>
        <w:rPr>
          <w:rFonts w:ascii="宋体" w:hAnsi="宋体"/>
          <w:bCs/>
          <w:sz w:val="24"/>
        </w:rPr>
        <w:t>7</w:t>
      </w:r>
      <w:r>
        <w:rPr>
          <w:rFonts w:hint="eastAsia" w:ascii="宋体" w:hAnsi="宋体"/>
          <w:bCs/>
          <w:sz w:val="24"/>
        </w:rPr>
        <w:t>．0</w:t>
      </w:r>
      <w:r>
        <w:rPr>
          <w:rFonts w:ascii="宋体" w:hAnsi="宋体"/>
          <w:bCs/>
          <w:sz w:val="24"/>
        </w:rPr>
        <w:t>5</w:t>
      </w:r>
      <w:r>
        <w:rPr>
          <w:rFonts w:hint="eastAsia" w:ascii="宋体" w:hAnsi="宋体"/>
          <w:bCs/>
          <w:sz w:val="24"/>
        </w:rPr>
        <w:t xml:space="preserve"> 通过青岛市新能源电动汽车智能控制系统工程技术研究中心认证</w:t>
      </w:r>
    </w:p>
    <w:p>
      <w:pPr>
        <w:adjustRightInd w:val="0"/>
        <w:snapToGrid w:val="0"/>
        <w:spacing w:line="360" w:lineRule="auto"/>
        <w:ind w:firstLine="480" w:firstLineChars="200"/>
        <w:rPr>
          <w:rFonts w:ascii="宋体" w:hAnsi="宋体"/>
          <w:bCs/>
          <w:sz w:val="24"/>
        </w:rPr>
      </w:pPr>
      <w:r>
        <w:rPr>
          <w:rFonts w:hint="eastAsia" w:ascii="宋体" w:hAnsi="宋体"/>
          <w:bCs/>
          <w:sz w:val="24"/>
        </w:rPr>
        <w:t>20</w:t>
      </w:r>
      <w:r>
        <w:rPr>
          <w:rFonts w:ascii="宋体" w:hAnsi="宋体"/>
          <w:bCs/>
          <w:sz w:val="24"/>
        </w:rPr>
        <w:t>17</w:t>
      </w:r>
      <w:r>
        <w:rPr>
          <w:rFonts w:hint="eastAsia" w:ascii="宋体" w:hAnsi="宋体"/>
          <w:bCs/>
          <w:sz w:val="24"/>
        </w:rPr>
        <w:t>．0</w:t>
      </w:r>
      <w:r>
        <w:rPr>
          <w:rFonts w:ascii="宋体" w:hAnsi="宋体"/>
          <w:bCs/>
          <w:sz w:val="24"/>
        </w:rPr>
        <w:t xml:space="preserve">8 </w:t>
      </w:r>
      <w:r>
        <w:rPr>
          <w:rFonts w:hint="eastAsia" w:ascii="宋体" w:hAnsi="宋体"/>
          <w:bCs/>
          <w:sz w:val="24"/>
        </w:rPr>
        <w:t>通过 ISO9001</w:t>
      </w:r>
      <w:r>
        <w:rPr>
          <w:rFonts w:hint="eastAsia" w:ascii="宋体" w:hAnsi="宋体"/>
          <w:bCs/>
          <w:sz w:val="24"/>
          <w:lang w:eastAsia="zh-CN"/>
        </w:rPr>
        <w:t>：</w:t>
      </w:r>
      <w:r>
        <w:rPr>
          <w:rFonts w:hint="eastAsia" w:ascii="宋体" w:hAnsi="宋体"/>
          <w:bCs/>
          <w:sz w:val="24"/>
          <w:lang w:val="en-US" w:eastAsia="zh-CN"/>
        </w:rPr>
        <w:t>2015</w:t>
      </w:r>
      <w:r>
        <w:rPr>
          <w:rFonts w:hint="eastAsia" w:ascii="宋体" w:hAnsi="宋体"/>
          <w:bCs/>
          <w:sz w:val="24"/>
        </w:rPr>
        <w:t xml:space="preserve">质量管理体系认证 </w:t>
      </w:r>
    </w:p>
    <w:p>
      <w:pPr>
        <w:adjustRightInd w:val="0"/>
        <w:snapToGrid w:val="0"/>
        <w:spacing w:line="360" w:lineRule="auto"/>
        <w:ind w:firstLine="480" w:firstLineChars="200"/>
        <w:rPr>
          <w:rFonts w:ascii="宋体" w:hAnsi="宋体"/>
          <w:bCs/>
          <w:sz w:val="24"/>
        </w:rPr>
      </w:pPr>
      <w:r>
        <w:rPr>
          <w:rFonts w:hint="eastAsia" w:ascii="宋体" w:hAnsi="宋体"/>
          <w:bCs/>
          <w:sz w:val="24"/>
        </w:rPr>
        <w:t>20</w:t>
      </w:r>
      <w:r>
        <w:rPr>
          <w:rFonts w:ascii="宋体" w:hAnsi="宋体"/>
          <w:bCs/>
          <w:sz w:val="24"/>
        </w:rPr>
        <w:t>17</w:t>
      </w:r>
      <w:r>
        <w:rPr>
          <w:rFonts w:hint="eastAsia" w:ascii="宋体" w:hAnsi="宋体"/>
          <w:bCs/>
          <w:sz w:val="24"/>
        </w:rPr>
        <w:t>．0</w:t>
      </w:r>
      <w:r>
        <w:rPr>
          <w:rFonts w:ascii="宋体" w:hAnsi="宋体"/>
          <w:bCs/>
          <w:sz w:val="24"/>
        </w:rPr>
        <w:t>8</w:t>
      </w:r>
      <w:r>
        <w:rPr>
          <w:rFonts w:hint="eastAsia" w:ascii="宋体" w:hAnsi="宋体"/>
          <w:bCs/>
          <w:sz w:val="24"/>
        </w:rPr>
        <w:t xml:space="preserve"> 通过 ISO14001</w:t>
      </w:r>
      <w:r>
        <w:rPr>
          <w:rFonts w:hint="eastAsia" w:ascii="宋体" w:hAnsi="宋体"/>
          <w:bCs/>
          <w:sz w:val="24"/>
          <w:lang w:eastAsia="zh-CN"/>
        </w:rPr>
        <w:t>：</w:t>
      </w:r>
      <w:r>
        <w:rPr>
          <w:rFonts w:hint="eastAsia" w:ascii="宋体" w:hAnsi="宋体"/>
          <w:bCs/>
          <w:sz w:val="24"/>
          <w:lang w:val="en-US" w:eastAsia="zh-CN"/>
        </w:rPr>
        <w:t>2015</w:t>
      </w:r>
      <w:r>
        <w:rPr>
          <w:rFonts w:hint="eastAsia" w:ascii="宋体" w:hAnsi="宋体"/>
          <w:bCs/>
          <w:sz w:val="24"/>
        </w:rPr>
        <w:t>环境管理体系认证</w:t>
      </w:r>
    </w:p>
    <w:p>
      <w:pPr>
        <w:adjustRightInd w:val="0"/>
        <w:snapToGrid w:val="0"/>
        <w:spacing w:line="360" w:lineRule="auto"/>
        <w:ind w:firstLine="480" w:firstLineChars="200"/>
        <w:rPr>
          <w:rFonts w:hint="eastAsia" w:ascii="宋体" w:hAnsi="宋体"/>
          <w:bCs/>
          <w:sz w:val="24"/>
        </w:rPr>
      </w:pPr>
      <w:r>
        <w:rPr>
          <w:rFonts w:ascii="宋体" w:hAnsi="宋体"/>
          <w:bCs/>
          <w:sz w:val="24"/>
        </w:rPr>
        <w:t>2017</w:t>
      </w:r>
      <w:r>
        <w:rPr>
          <w:rFonts w:hint="eastAsia" w:ascii="宋体" w:hAnsi="宋体"/>
          <w:bCs/>
          <w:sz w:val="24"/>
        </w:rPr>
        <w:t>．</w:t>
      </w:r>
      <w:r>
        <w:rPr>
          <w:rFonts w:ascii="宋体" w:hAnsi="宋体"/>
          <w:bCs/>
          <w:sz w:val="24"/>
        </w:rPr>
        <w:t>08 通过</w:t>
      </w:r>
      <w:r>
        <w:rPr>
          <w:rFonts w:hint="eastAsia" w:ascii="宋体" w:hAnsi="宋体"/>
          <w:bCs/>
          <w:sz w:val="24"/>
        </w:rPr>
        <w:t xml:space="preserve"> OHSAS18001</w:t>
      </w:r>
      <w:r>
        <w:rPr>
          <w:rFonts w:hint="eastAsia" w:ascii="宋体" w:hAnsi="宋体"/>
          <w:bCs/>
          <w:sz w:val="24"/>
          <w:lang w:eastAsia="zh-CN"/>
        </w:rPr>
        <w:t>：</w:t>
      </w:r>
      <w:r>
        <w:rPr>
          <w:rFonts w:hint="eastAsia" w:ascii="宋体" w:hAnsi="宋体"/>
          <w:bCs/>
          <w:sz w:val="24"/>
          <w:lang w:val="en-US" w:eastAsia="zh-CN"/>
        </w:rPr>
        <w:t>2007</w:t>
      </w:r>
      <w:r>
        <w:rPr>
          <w:rFonts w:hint="eastAsia" w:ascii="宋体" w:hAnsi="宋体"/>
          <w:bCs/>
          <w:sz w:val="24"/>
        </w:rPr>
        <w:t>职业健康安全管理体系认证</w:t>
      </w:r>
    </w:p>
    <w:p>
      <w:pPr>
        <w:numPr>
          <w:ilvl w:val="0"/>
          <w:numId w:val="9"/>
        </w:numPr>
        <w:adjustRightInd w:val="0"/>
        <w:snapToGrid w:val="0"/>
        <w:spacing w:line="360" w:lineRule="auto"/>
        <w:ind w:firstLine="480" w:firstLineChars="200"/>
        <w:rPr>
          <w:rFonts w:hint="eastAsia" w:ascii="宋体" w:hAnsi="宋体"/>
          <w:bCs/>
          <w:sz w:val="24"/>
        </w:rPr>
      </w:pPr>
      <w:r>
        <w:rPr>
          <w:rFonts w:hint="eastAsia" w:ascii="宋体" w:hAnsi="宋体"/>
          <w:bCs/>
          <w:sz w:val="24"/>
          <w:lang w:val="en-US" w:eastAsia="zh-CN"/>
        </w:rPr>
        <w:t>11 通过 IATF</w:t>
      </w:r>
      <w:r>
        <w:rPr>
          <w:rFonts w:ascii="宋体" w:hAnsi="宋体"/>
          <w:bCs/>
          <w:sz w:val="24"/>
        </w:rPr>
        <w:t>16949:20</w:t>
      </w:r>
      <w:r>
        <w:rPr>
          <w:rFonts w:hint="eastAsia" w:ascii="宋体" w:hAnsi="宋体"/>
          <w:bCs/>
          <w:sz w:val="24"/>
          <w:lang w:val="en-US" w:eastAsia="zh-CN"/>
        </w:rPr>
        <w:t>16汽车行业</w:t>
      </w:r>
      <w:r>
        <w:rPr>
          <w:rFonts w:ascii="宋体" w:hAnsi="宋体"/>
          <w:bCs/>
          <w:sz w:val="24"/>
        </w:rPr>
        <w:t>质量管理体系</w:t>
      </w:r>
      <w:r>
        <w:rPr>
          <w:rFonts w:hint="eastAsia" w:ascii="宋体" w:hAnsi="宋体"/>
          <w:bCs/>
          <w:sz w:val="24"/>
        </w:rPr>
        <w:t>认证</w:t>
      </w:r>
    </w:p>
    <w:p>
      <w:pPr>
        <w:numPr>
          <w:ilvl w:val="0"/>
          <w:numId w:val="9"/>
        </w:numPr>
        <w:adjustRightInd w:val="0"/>
        <w:snapToGrid w:val="0"/>
        <w:spacing w:line="360" w:lineRule="auto"/>
        <w:ind w:firstLine="480" w:firstLineChars="200"/>
        <w:rPr>
          <w:rFonts w:hint="eastAsia" w:ascii="宋体" w:hAnsi="宋体"/>
          <w:bCs/>
          <w:sz w:val="24"/>
        </w:rPr>
      </w:pPr>
      <w:r>
        <w:rPr>
          <w:rFonts w:hint="eastAsia" w:ascii="宋体" w:hAnsi="宋体"/>
          <w:bCs/>
          <w:sz w:val="24"/>
          <w:lang w:val="en-US" w:eastAsia="zh-CN"/>
        </w:rPr>
        <w:t>05 通过测量管理体系认证</w:t>
      </w:r>
    </w:p>
    <w:p>
      <w:pPr>
        <w:pStyle w:val="9"/>
        <w:numPr>
          <w:ilvl w:val="0"/>
          <w:numId w:val="8"/>
        </w:numPr>
        <w:adjustRightInd w:val="0"/>
        <w:snapToGrid w:val="0"/>
        <w:spacing w:before="156" w:beforeLines="50" w:after="156" w:afterLines="50" w:line="360" w:lineRule="auto"/>
        <w:ind w:firstLineChars="0"/>
        <w:outlineLvl w:val="2"/>
        <w:rPr>
          <w:rFonts w:ascii="宋体" w:hAnsi="宋体"/>
          <w:b/>
          <w:bCs/>
          <w:sz w:val="24"/>
        </w:rPr>
      </w:pPr>
      <w:bookmarkStart w:id="29" w:name="_Toc24685_WPSOffice_Level3"/>
      <w:r>
        <w:rPr>
          <w:rFonts w:ascii="宋体" w:hAnsi="宋体"/>
          <w:b/>
          <w:bCs/>
          <w:sz w:val="24"/>
        </w:rPr>
        <w:t>领先的技术</w:t>
      </w:r>
      <w:bookmarkEnd w:id="29"/>
    </w:p>
    <w:p>
      <w:pPr>
        <w:adjustRightInd w:val="0"/>
        <w:snapToGrid w:val="0"/>
        <w:spacing w:before="156" w:beforeLines="50" w:after="156" w:afterLines="50" w:line="360" w:lineRule="auto"/>
        <w:ind w:firstLine="480" w:firstLineChars="200"/>
        <w:rPr>
          <w:rFonts w:hint="eastAsia" w:ascii="宋体" w:hAnsi="宋体"/>
          <w:bCs/>
          <w:sz w:val="24"/>
        </w:rPr>
      </w:pPr>
      <w:r>
        <w:rPr>
          <w:rFonts w:hint="eastAsia" w:ascii="宋体" w:hAnsi="宋体"/>
          <w:bCs/>
          <w:sz w:val="24"/>
        </w:rPr>
        <w:t>公司是高新技术企业，</w:t>
      </w:r>
      <w:r>
        <w:rPr>
          <w:rFonts w:hint="eastAsia" w:ascii="宋体" w:hAnsi="宋体"/>
          <w:bCs/>
          <w:sz w:val="24"/>
          <w:lang w:eastAsia="zh-CN"/>
        </w:rPr>
        <w:t>拥</w:t>
      </w:r>
      <w:r>
        <w:rPr>
          <w:rFonts w:hint="eastAsia" w:ascii="宋体" w:hAnsi="宋体"/>
          <w:bCs/>
          <w:sz w:val="24"/>
        </w:rPr>
        <w:t>有 1</w:t>
      </w:r>
      <w:r>
        <w:rPr>
          <w:rFonts w:ascii="宋体" w:hAnsi="宋体"/>
          <w:bCs/>
          <w:sz w:val="24"/>
        </w:rPr>
        <w:t>8</w:t>
      </w:r>
      <w:r>
        <w:rPr>
          <w:rFonts w:hint="eastAsia" w:ascii="宋体" w:hAnsi="宋体"/>
          <w:bCs/>
          <w:sz w:val="24"/>
        </w:rPr>
        <w:t xml:space="preserve"> 个职能事业部与多个实验室，雄厚的研发实力，领先的创新能力为产品质量奠定了基础。公司站在当代世界科技领域前列，主要从事新能源电动汽车电气控制系统（高压配电盒、中控信息系统、传导充电系统、电机控制器、车载充电机、电源变换器）、充电系统及充电桩、车载充电系统、智能电网计量、控制、监控系列产品的设计、生产及相关管理活动，以可靠的产品设计质量，科学的管理方法，完善的质量保证手段，不断的向能源、交通、邮电、电力、石化等领域推出当代高科技术产品。企业在人才、设备、生产、质保和售后服务方面提供强有力的支持和保证，以便企业产品能有更广泛的应用。企业也根据客户的要求进行定制开发，使本企业提供的产品能达到客户的要求。</w:t>
      </w:r>
    </w:p>
    <w:p>
      <w:pPr>
        <w:pStyle w:val="9"/>
        <w:numPr>
          <w:ilvl w:val="0"/>
          <w:numId w:val="8"/>
        </w:numPr>
        <w:adjustRightInd w:val="0"/>
        <w:snapToGrid w:val="0"/>
        <w:spacing w:before="156" w:beforeLines="50" w:after="156" w:afterLines="50" w:line="360" w:lineRule="auto"/>
        <w:ind w:firstLineChars="0"/>
        <w:outlineLvl w:val="2"/>
        <w:rPr>
          <w:rFonts w:ascii="宋体" w:hAnsi="宋体"/>
          <w:b/>
          <w:bCs/>
          <w:sz w:val="24"/>
        </w:rPr>
      </w:pPr>
      <w:bookmarkStart w:id="30" w:name="_Toc30267_WPSOffice_Level3"/>
      <w:r>
        <w:rPr>
          <w:rFonts w:hint="eastAsia" w:ascii="宋体" w:hAnsi="宋体"/>
          <w:b/>
          <w:bCs/>
          <w:sz w:val="24"/>
        </w:rPr>
        <w:t>安全、环境管理情况</w:t>
      </w:r>
      <w:bookmarkEnd w:id="30"/>
    </w:p>
    <w:p>
      <w:pPr>
        <w:adjustRightInd w:val="0"/>
        <w:snapToGrid w:val="0"/>
        <w:spacing w:before="156" w:beforeLines="50" w:after="156" w:afterLines="50" w:line="360" w:lineRule="auto"/>
        <w:ind w:firstLine="480" w:firstLineChars="200"/>
        <w:rPr>
          <w:rFonts w:hint="eastAsia" w:ascii="宋体" w:hAnsi="宋体"/>
          <w:bCs/>
          <w:sz w:val="24"/>
        </w:rPr>
        <w:sectPr>
          <w:footerReference r:id="rId6" w:type="first"/>
          <w:footerReference r:id="rId5" w:type="default"/>
          <w:pgSz w:w="11906" w:h="16838"/>
          <w:pgMar w:top="1440" w:right="1800" w:bottom="1440" w:left="1800" w:header="851" w:footer="850" w:gutter="0"/>
          <w:pgNumType w:fmt="decimal" w:start="1"/>
          <w:cols w:space="425" w:num="1"/>
          <w:titlePg/>
          <w:docGrid w:type="lines" w:linePitch="312" w:charSpace="0"/>
        </w:sectPr>
      </w:pPr>
      <w:r>
        <w:rPr>
          <w:rFonts w:hint="eastAsia" w:ascii="宋体" w:hAnsi="宋体"/>
          <w:bCs/>
          <w:sz w:val="24"/>
        </w:rPr>
        <w:t>公司明确了 “环境方针”、“职业健康安全方针”和“环境专业健康安全管理目标”。为了保护环境和人身健康安全，追求社会效益，保障社会利益，公司制订了完备的各项管理制度、操作规程和体系文件，每年开展内部评审和外部监督审核，不断完善公司安全、环保和职业健康管理工作。同时，公司培养了一批安全、环保和职业健康管理人员，建立了公司管理网络和“安标”、“体系”评审队伍。公司利用安全月、专项检查等各种形式的活动，组织开展设备安全隐患查找与纠正整改工作。</w:t>
      </w:r>
    </w:p>
    <w:p>
      <w:pPr>
        <w:pStyle w:val="9"/>
        <w:numPr>
          <w:ilvl w:val="0"/>
          <w:numId w:val="2"/>
        </w:numPr>
        <w:ind w:firstLineChars="0"/>
        <w:outlineLvl w:val="1"/>
        <w:rPr>
          <w:rFonts w:asciiTheme="minorEastAsia" w:hAnsiTheme="minorEastAsia"/>
          <w:b/>
          <w:sz w:val="28"/>
        </w:rPr>
      </w:pPr>
      <w:bookmarkStart w:id="31" w:name="_Toc15765_WPSOffice_Level2"/>
      <w:r>
        <w:rPr>
          <w:rFonts w:asciiTheme="minorEastAsia" w:hAnsiTheme="minorEastAsia"/>
          <w:b/>
          <w:sz w:val="28"/>
        </w:rPr>
        <w:t>产品质量责任</w:t>
      </w:r>
      <w:bookmarkEnd w:id="31"/>
    </w:p>
    <w:p>
      <w:pPr>
        <w:pStyle w:val="9"/>
        <w:numPr>
          <w:ilvl w:val="0"/>
          <w:numId w:val="10"/>
        </w:numPr>
        <w:adjustRightInd w:val="0"/>
        <w:snapToGrid w:val="0"/>
        <w:spacing w:before="156" w:beforeLines="50" w:after="156" w:afterLines="50" w:line="360" w:lineRule="auto"/>
        <w:ind w:firstLineChars="0"/>
        <w:outlineLvl w:val="2"/>
        <w:rPr>
          <w:rFonts w:ascii="宋体" w:hAnsi="宋体"/>
          <w:b/>
          <w:bCs/>
          <w:sz w:val="24"/>
        </w:rPr>
      </w:pPr>
      <w:bookmarkStart w:id="32" w:name="_Toc27411_WPSOffice_Level3"/>
      <w:r>
        <w:rPr>
          <w:rFonts w:hint="eastAsia" w:ascii="宋体" w:hAnsi="宋体"/>
          <w:b/>
          <w:bCs/>
          <w:sz w:val="24"/>
        </w:rPr>
        <w:t>产品质量承诺</w:t>
      </w:r>
      <w:bookmarkEnd w:id="32"/>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华烁高科的质量承诺是：严守销售合同信誉，按时保质交货，保证提供顾客满意的产品。公司提供的产品，质保期内出现质量问题保修，长期提供服务。实行定性和定量服务，对顾客创造价值。</w:t>
      </w:r>
    </w:p>
    <w:p>
      <w:pPr>
        <w:pStyle w:val="9"/>
        <w:numPr>
          <w:ilvl w:val="0"/>
          <w:numId w:val="10"/>
        </w:numPr>
        <w:adjustRightInd w:val="0"/>
        <w:snapToGrid w:val="0"/>
        <w:spacing w:before="156" w:beforeLines="50" w:after="156" w:afterLines="50" w:line="360" w:lineRule="auto"/>
        <w:ind w:firstLineChars="0"/>
        <w:outlineLvl w:val="2"/>
        <w:rPr>
          <w:rFonts w:ascii="宋体" w:hAnsi="宋体"/>
          <w:b/>
          <w:bCs/>
          <w:sz w:val="24"/>
        </w:rPr>
      </w:pPr>
      <w:bookmarkStart w:id="33" w:name="_Toc32498_WPSOffice_Level3"/>
      <w:r>
        <w:rPr>
          <w:rFonts w:hint="eastAsia" w:ascii="宋体" w:hAnsi="宋体"/>
          <w:b/>
          <w:bCs/>
          <w:sz w:val="24"/>
        </w:rPr>
        <w:t>产品召回情况</w:t>
      </w:r>
      <w:bookmarkEnd w:id="33"/>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 xml:space="preserve">为保证进入流通领域的、由各种原因导致的不合格产品及时、快速、完全的召回，确保质量安全管理体系的有效性，公司建立了相关制度。明确了产品召回责任，规范了产品召回工作程序。 </w:t>
      </w:r>
    </w:p>
    <w:p>
      <w:pPr>
        <w:adjustRightInd w:val="0"/>
        <w:snapToGrid w:val="0"/>
        <w:spacing w:before="156" w:beforeLines="50" w:after="156" w:afterLines="50" w:line="360" w:lineRule="auto"/>
        <w:ind w:firstLine="480" w:firstLineChars="200"/>
        <w:rPr>
          <w:rFonts w:hint="eastAsia" w:ascii="宋体" w:hAnsi="宋体"/>
          <w:bCs/>
          <w:sz w:val="24"/>
        </w:rPr>
        <w:sectPr>
          <w:pgSz w:w="11906" w:h="16838"/>
          <w:pgMar w:top="1440" w:right="1800" w:bottom="1440" w:left="1800" w:header="851" w:footer="850" w:gutter="0"/>
          <w:pgNumType w:fmt="decimal"/>
          <w:cols w:space="425" w:num="1"/>
          <w:titlePg/>
          <w:docGrid w:type="lines" w:linePitch="312" w:charSpace="0"/>
        </w:sectPr>
      </w:pPr>
      <w:r>
        <w:rPr>
          <w:rFonts w:hint="eastAsia" w:ascii="宋体" w:hAnsi="宋体"/>
          <w:bCs/>
          <w:sz w:val="24"/>
        </w:rPr>
        <w:t>到目前为止，公司还没有出现因质量问题的召回事件。</w:t>
      </w:r>
    </w:p>
    <w:p>
      <w:pPr>
        <w:pStyle w:val="9"/>
        <w:numPr>
          <w:ilvl w:val="0"/>
          <w:numId w:val="2"/>
        </w:numPr>
        <w:ind w:firstLineChars="0"/>
        <w:outlineLvl w:val="1"/>
        <w:rPr>
          <w:rFonts w:asciiTheme="minorEastAsia" w:hAnsiTheme="minorEastAsia"/>
          <w:b/>
          <w:sz w:val="28"/>
        </w:rPr>
      </w:pPr>
      <w:bookmarkStart w:id="34" w:name="_Toc13697_WPSOffice_Level2"/>
      <w:r>
        <w:rPr>
          <w:rFonts w:asciiTheme="minorEastAsia" w:hAnsiTheme="minorEastAsia"/>
          <w:b/>
          <w:sz w:val="28"/>
        </w:rPr>
        <w:t>质量风险管理</w:t>
      </w:r>
      <w:bookmarkEnd w:id="34"/>
    </w:p>
    <w:p>
      <w:pPr>
        <w:pStyle w:val="9"/>
        <w:numPr>
          <w:ilvl w:val="0"/>
          <w:numId w:val="11"/>
        </w:numPr>
        <w:adjustRightInd w:val="0"/>
        <w:snapToGrid w:val="0"/>
        <w:spacing w:before="156" w:beforeLines="50" w:after="156" w:afterLines="50" w:line="360" w:lineRule="auto"/>
        <w:ind w:firstLineChars="0"/>
        <w:outlineLvl w:val="2"/>
        <w:rPr>
          <w:rFonts w:ascii="宋体" w:hAnsi="宋体"/>
          <w:b/>
          <w:bCs/>
          <w:sz w:val="24"/>
        </w:rPr>
      </w:pPr>
      <w:bookmarkStart w:id="35" w:name="_Toc27795_WPSOffice_Level3"/>
      <w:r>
        <w:rPr>
          <w:rFonts w:hint="eastAsia" w:ascii="宋体" w:hAnsi="宋体"/>
          <w:b/>
          <w:bCs/>
          <w:sz w:val="24"/>
        </w:rPr>
        <w:t>质量投诉处理</w:t>
      </w:r>
      <w:bookmarkEnd w:id="35"/>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公司开通了售后服务中心，为客户咨询、投诉、建议提供便利渠道，制定了客户投诉管理规定，确保客户投诉信息的快速传递与妥善处理。公司设定了相关的考核指标，定期检讨顾客投诉的种类及件数，通过质量例会等形式，分析顾客投诉，落实责任部门，并不断改善方法，提升顾客满意度。</w:t>
      </w:r>
    </w:p>
    <w:p>
      <w:pPr>
        <w:pStyle w:val="9"/>
        <w:numPr>
          <w:ilvl w:val="0"/>
          <w:numId w:val="11"/>
        </w:numPr>
        <w:adjustRightInd w:val="0"/>
        <w:snapToGrid w:val="0"/>
        <w:spacing w:before="156" w:beforeLines="50" w:after="156" w:afterLines="50" w:line="360" w:lineRule="auto"/>
        <w:ind w:firstLineChars="0"/>
        <w:outlineLvl w:val="2"/>
        <w:rPr>
          <w:rFonts w:ascii="宋体" w:hAnsi="宋体"/>
          <w:b/>
          <w:bCs/>
          <w:sz w:val="24"/>
        </w:rPr>
      </w:pPr>
      <w:bookmarkStart w:id="36" w:name="_Toc26272_WPSOffice_Level3"/>
      <w:r>
        <w:rPr>
          <w:rFonts w:hint="eastAsia" w:ascii="宋体" w:hAnsi="宋体"/>
          <w:b/>
          <w:bCs/>
          <w:sz w:val="24"/>
        </w:rPr>
        <w:t>质量风险监测</w:t>
      </w:r>
      <w:bookmarkEnd w:id="36"/>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公司在防范产品质量安全与风险时,实施全面风险管理，由公司董事会、管理层和所有员工共同参与,并将风险意识转化为全体员工的共同认识和自觉行动，通过风险管理专业人才、系统科学的方法来实施,以确保所有的风险都得到识别,对识别的风险进行衡量并得以有效控制。</w:t>
      </w:r>
    </w:p>
    <w:p>
      <w:pPr>
        <w:pStyle w:val="9"/>
        <w:numPr>
          <w:ilvl w:val="0"/>
          <w:numId w:val="11"/>
        </w:numPr>
        <w:adjustRightInd w:val="0"/>
        <w:snapToGrid w:val="0"/>
        <w:spacing w:before="156" w:beforeLines="50" w:after="156" w:afterLines="50" w:line="360" w:lineRule="auto"/>
        <w:ind w:firstLineChars="0"/>
        <w:outlineLvl w:val="2"/>
        <w:rPr>
          <w:rFonts w:ascii="宋体" w:hAnsi="宋体"/>
          <w:b/>
          <w:bCs/>
          <w:sz w:val="24"/>
        </w:rPr>
      </w:pPr>
      <w:bookmarkStart w:id="37" w:name="_Toc13209_WPSOffice_Level3"/>
      <w:r>
        <w:rPr>
          <w:rFonts w:ascii="宋体" w:hAnsi="宋体"/>
          <w:b/>
          <w:bCs/>
          <w:sz w:val="24"/>
        </w:rPr>
        <w:t>应急管理</w:t>
      </w:r>
      <w:bookmarkEnd w:id="37"/>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 xml:space="preserve">由产品质量管理事业部主导，相关部门配合针对潜在的事故或紧急情况，制定有针对性的预防措施、应急措施和事故处理整改方案，建立了企业重大质量安全事故的应急预案，成立了质量安全事故应急处理小组，应急处理小组包括公司设计研发、质量、法务、售后服务、市场等部门成员。 </w:t>
      </w:r>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公司建立了快速报告、紧急处理、快速处置的重大质量安全事故应急处置方针，确立了重大质量安全事故响应处理机制。适用时向有关的相关方，包括在组织控制下工作的人员提供应急准备和响应相关的信息和培训。</w:t>
      </w:r>
    </w:p>
    <w:p>
      <w:pPr>
        <w:spacing w:line="360" w:lineRule="auto"/>
      </w:pPr>
    </w:p>
    <w:p>
      <w:pPr>
        <w:jc w:val="center"/>
      </w:pPr>
      <w:r>
        <w:br w:type="page"/>
      </w:r>
    </w:p>
    <w:p>
      <w:pPr>
        <w:jc w:val="center"/>
        <w:rPr>
          <w:sz w:val="36"/>
        </w:rPr>
      </w:pPr>
    </w:p>
    <w:p>
      <w:pPr>
        <w:jc w:val="center"/>
        <w:outlineLvl w:val="0"/>
        <w:rPr>
          <w:rFonts w:cs="Times New Roman" w:asciiTheme="majorEastAsia" w:hAnsiTheme="majorEastAsia" w:eastAsiaTheme="majorEastAsia"/>
          <w:b/>
          <w:sz w:val="36"/>
        </w:rPr>
      </w:pPr>
      <w:bookmarkStart w:id="38" w:name="_Toc18465_WPSOffice_Level1"/>
      <w:r>
        <w:rPr>
          <w:rFonts w:hint="eastAsia" w:cs="Times New Roman" w:asciiTheme="majorEastAsia" w:hAnsiTheme="majorEastAsia" w:eastAsiaTheme="majorEastAsia"/>
          <w:b/>
          <w:sz w:val="36"/>
        </w:rPr>
        <w:t>第三部分  报告结语</w:t>
      </w:r>
      <w:bookmarkEnd w:id="38"/>
    </w:p>
    <w:p>
      <w:pPr>
        <w:widowControl/>
        <w:jc w:val="left"/>
        <w:rPr>
          <w:sz w:val="36"/>
        </w:rPr>
      </w:pPr>
    </w:p>
    <w:p>
      <w:pPr>
        <w:pStyle w:val="9"/>
        <w:numPr>
          <w:ilvl w:val="1"/>
          <w:numId w:val="11"/>
        </w:numPr>
        <w:ind w:left="0" w:firstLine="0" w:firstLineChars="0"/>
        <w:outlineLvl w:val="1"/>
        <w:rPr>
          <w:rFonts w:asciiTheme="minorEastAsia" w:hAnsiTheme="minorEastAsia"/>
          <w:b/>
          <w:sz w:val="28"/>
        </w:rPr>
      </w:pPr>
      <w:bookmarkStart w:id="39" w:name="_Toc19188_WPSOffice_Level2"/>
      <w:r>
        <w:rPr>
          <w:rFonts w:hint="eastAsia" w:asciiTheme="minorEastAsia" w:hAnsiTheme="minorEastAsia"/>
          <w:b/>
          <w:sz w:val="28"/>
        </w:rPr>
        <w:t>未来展望</w:t>
      </w:r>
      <w:bookmarkEnd w:id="39"/>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华烁高科秉承“引领科技，创造未来”的宗旨。公司整合各方资源，建立起了规模宏大的专业研发团队。我们将持续深入研发新能源产品，不断创新，致力于建立专业品牌形象，成为市场的先行者和客户的成长伙伴，为客户提供优质的产品和服务，帮助您永远领先一步。</w:t>
      </w:r>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展望未来，青岛华烁高科新能源技术有限公司将努力成为全球电动汽车充电站整体解决方案和设备供应商，在这个充满机遇和挑战的新经济时代，华烁高科将以市场为导向，以人才为根本，以技术为支撑，以资本为纽带，打造一个实力雄厚、核心竞争力强大的国际化企业。</w:t>
      </w:r>
    </w:p>
    <w:p>
      <w:pPr>
        <w:pStyle w:val="9"/>
        <w:numPr>
          <w:ilvl w:val="1"/>
          <w:numId w:val="11"/>
        </w:numPr>
        <w:ind w:left="0" w:firstLine="0" w:firstLineChars="0"/>
        <w:outlineLvl w:val="1"/>
        <w:rPr>
          <w:rFonts w:asciiTheme="minorEastAsia" w:hAnsiTheme="minorEastAsia"/>
          <w:b/>
          <w:sz w:val="28"/>
        </w:rPr>
      </w:pPr>
      <w:bookmarkStart w:id="40" w:name="_Toc24685_WPSOffice_Level2"/>
      <w:r>
        <w:rPr>
          <w:rFonts w:asciiTheme="minorEastAsia" w:hAnsiTheme="minorEastAsia"/>
          <w:b/>
          <w:sz w:val="28"/>
        </w:rPr>
        <w:t>读者意见反馈</w:t>
      </w:r>
      <w:bookmarkEnd w:id="40"/>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 xml:space="preserve">尊敬的读者： </w:t>
      </w:r>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感谢您阅读本报告！为了持续改进公司质量诚信工作，提高质量服务水平，我们真诚地希望您能够对本报告给予评价，并提出您的宝贵意见，我们对此十分感谢！</w:t>
      </w:r>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 xml:space="preserve">您可以选择以下方式提供您的反馈建议： </w:t>
      </w:r>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书面信函：青岛市高新技术产业开发区秀园路1号青岛华烁高科新能源技术有限公司（收），邮编：</w:t>
      </w:r>
      <w:r>
        <w:rPr>
          <w:rFonts w:ascii="宋体" w:hAnsi="宋体"/>
          <w:bCs/>
          <w:sz w:val="24"/>
        </w:rPr>
        <w:t>266100</w:t>
      </w:r>
      <w:r>
        <w:rPr>
          <w:rFonts w:hint="eastAsia" w:ascii="宋体" w:hAnsi="宋体"/>
          <w:bCs/>
          <w:sz w:val="24"/>
        </w:rPr>
        <w:t xml:space="preserve"> </w:t>
      </w:r>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公司网址：</w:t>
      </w:r>
      <w:r>
        <w:rPr>
          <w:rFonts w:ascii="宋体" w:hAnsi="宋体"/>
          <w:bCs/>
          <w:sz w:val="24"/>
        </w:rPr>
        <w:t>http://www.huashuochina.com</w:t>
      </w:r>
      <w:r>
        <w:rPr>
          <w:rFonts w:hint="eastAsia" w:ascii="宋体" w:hAnsi="宋体"/>
          <w:bCs/>
          <w:sz w:val="24"/>
        </w:rPr>
        <w:t xml:space="preserve"> </w:t>
      </w:r>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电子邮件：</w:t>
      </w:r>
      <w:r>
        <w:rPr>
          <w:rFonts w:hint="eastAsia" w:ascii="宋体" w:hAnsi="宋体"/>
          <w:bCs/>
          <w:sz w:val="24"/>
          <w:lang w:val="en-US" w:eastAsia="zh-CN"/>
        </w:rPr>
        <w:t>gk88607099@126.com</w:t>
      </w:r>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传真：05</w:t>
      </w:r>
      <w:r>
        <w:rPr>
          <w:rFonts w:ascii="宋体" w:hAnsi="宋体"/>
          <w:bCs/>
          <w:sz w:val="24"/>
        </w:rPr>
        <w:t>32</w:t>
      </w:r>
      <w:r>
        <w:rPr>
          <w:rFonts w:hint="eastAsia" w:ascii="宋体" w:hAnsi="宋体"/>
          <w:bCs/>
          <w:sz w:val="24"/>
        </w:rPr>
        <w:t>—</w:t>
      </w:r>
      <w:r>
        <w:rPr>
          <w:rFonts w:ascii="宋体" w:hAnsi="宋体"/>
          <w:bCs/>
          <w:sz w:val="24"/>
        </w:rPr>
        <w:t>88607</w:t>
      </w:r>
      <w:r>
        <w:rPr>
          <w:rFonts w:hint="eastAsia" w:ascii="宋体" w:hAnsi="宋体"/>
          <w:bCs/>
          <w:sz w:val="24"/>
          <w:lang w:val="en-US" w:eastAsia="zh-CN"/>
        </w:rPr>
        <w:t>066</w:t>
      </w:r>
      <w:r>
        <w:rPr>
          <w:rFonts w:hint="eastAsia" w:ascii="宋体" w:hAnsi="宋体"/>
          <w:bCs/>
          <w:sz w:val="24"/>
        </w:rPr>
        <w:t xml:space="preserve"> </w:t>
      </w:r>
      <w:r>
        <w:rPr>
          <w:rFonts w:hint="eastAsia" w:ascii="宋体" w:hAnsi="宋体"/>
          <w:bCs/>
          <w:sz w:val="24"/>
          <w:lang w:val="en-US" w:eastAsia="zh-CN"/>
        </w:rPr>
        <w:t xml:space="preserve">          </w:t>
      </w:r>
      <w:r>
        <w:rPr>
          <w:rFonts w:hint="eastAsia" w:ascii="宋体" w:hAnsi="宋体"/>
          <w:bCs/>
          <w:sz w:val="24"/>
        </w:rPr>
        <w:t>电话：05</w:t>
      </w:r>
      <w:r>
        <w:rPr>
          <w:rFonts w:ascii="宋体" w:hAnsi="宋体"/>
          <w:bCs/>
          <w:sz w:val="24"/>
        </w:rPr>
        <w:t>32</w:t>
      </w:r>
      <w:r>
        <w:rPr>
          <w:rFonts w:hint="eastAsia" w:ascii="宋体" w:hAnsi="宋体"/>
          <w:bCs/>
          <w:sz w:val="24"/>
        </w:rPr>
        <w:t>—</w:t>
      </w:r>
      <w:r>
        <w:rPr>
          <w:rFonts w:ascii="宋体" w:hAnsi="宋体"/>
          <w:bCs/>
          <w:sz w:val="24"/>
        </w:rPr>
        <w:t>88607</w:t>
      </w:r>
      <w:r>
        <w:rPr>
          <w:rFonts w:hint="eastAsia" w:ascii="宋体" w:hAnsi="宋体"/>
          <w:bCs/>
          <w:sz w:val="24"/>
          <w:lang w:val="en-US" w:eastAsia="zh-CN"/>
        </w:rPr>
        <w:t>227</w:t>
      </w:r>
      <w:r>
        <w:rPr>
          <w:rFonts w:hint="eastAsia" w:ascii="宋体" w:hAnsi="宋体"/>
          <w:bCs/>
          <w:sz w:val="24"/>
        </w:rPr>
        <w:t xml:space="preserve"> </w:t>
      </w:r>
    </w:p>
    <w:p>
      <w:pPr>
        <w:adjustRightInd w:val="0"/>
        <w:snapToGrid w:val="0"/>
        <w:spacing w:before="156" w:beforeLines="50" w:after="156" w:afterLines="50" w:line="360" w:lineRule="auto"/>
        <w:ind w:firstLine="480" w:firstLineChars="200"/>
        <w:rPr>
          <w:rFonts w:ascii="宋体" w:hAnsi="宋体"/>
          <w:bCs/>
          <w:sz w:val="24"/>
        </w:rPr>
      </w:pPr>
      <w:r>
        <w:rPr>
          <w:rFonts w:hint="eastAsia" w:ascii="宋体" w:hAnsi="宋体"/>
          <w:bCs/>
          <w:sz w:val="24"/>
        </w:rPr>
        <w:t>联系人：李女士（青岛）：13335062299</w:t>
      </w:r>
    </w:p>
    <w:p>
      <w:pPr>
        <w:adjustRightInd w:val="0"/>
        <w:snapToGrid w:val="0"/>
        <w:spacing w:before="156" w:beforeLines="50" w:after="156" w:afterLines="50" w:line="360" w:lineRule="auto"/>
        <w:jc w:val="center"/>
        <w:rPr>
          <w:rFonts w:ascii="宋体" w:hAnsi="宋体"/>
          <w:bCs/>
          <w:sz w:val="24"/>
        </w:rPr>
      </w:pPr>
      <w:bookmarkStart w:id="41" w:name="_Toc27195_WPSOffice_Level1"/>
      <w:r>
        <w:rPr>
          <w:rFonts w:hint="eastAsia" w:ascii="宋体" w:hAnsi="宋体"/>
          <w:bCs/>
          <w:sz w:val="24"/>
        </w:rPr>
        <w:t>《青岛华烁高科新能源技术有限公司2</w:t>
      </w:r>
      <w:r>
        <w:rPr>
          <w:rFonts w:ascii="宋体" w:hAnsi="宋体"/>
          <w:bCs/>
          <w:sz w:val="24"/>
        </w:rPr>
        <w:t>017</w:t>
      </w:r>
      <w:r>
        <w:rPr>
          <w:rFonts w:hint="eastAsia" w:ascii="宋体" w:hAnsi="宋体"/>
          <w:bCs/>
          <w:sz w:val="24"/>
        </w:rPr>
        <w:t>年度质量诚信报告》读者反馈意见表</w:t>
      </w:r>
      <w:bookmarkEnd w:id="41"/>
    </w:p>
    <w:p>
      <w:pPr>
        <w:adjustRightInd w:val="0"/>
        <w:snapToGrid w:val="0"/>
        <w:spacing w:before="156" w:beforeLines="50" w:after="156" w:afterLines="50" w:line="360" w:lineRule="auto"/>
        <w:rPr>
          <w:rFonts w:ascii="宋体" w:hAnsi="宋体"/>
          <w:bCs/>
          <w:sz w:val="24"/>
        </w:rPr>
      </w:pPr>
      <w:r>
        <w:rPr>
          <w:rFonts w:hint="eastAsia" w:ascii="宋体" w:hAnsi="宋体"/>
          <w:bCs/>
          <w:sz w:val="24"/>
        </w:rPr>
        <w:t>姓名：</w:t>
      </w:r>
    </w:p>
    <w:p>
      <w:pPr>
        <w:adjustRightInd w:val="0"/>
        <w:snapToGrid w:val="0"/>
        <w:spacing w:before="156" w:beforeLines="50" w:after="156" w:afterLines="50" w:line="360" w:lineRule="auto"/>
        <w:jc w:val="left"/>
        <w:rPr>
          <w:rFonts w:ascii="宋体" w:hAnsi="宋体"/>
          <w:bCs/>
          <w:sz w:val="24"/>
        </w:rPr>
      </w:pPr>
      <w:r>
        <w:rPr>
          <w:rFonts w:hint="eastAsia" w:ascii="宋体" w:hAnsi="宋体"/>
          <w:bCs/>
          <w:sz w:val="24"/>
        </w:rPr>
        <w:t xml:space="preserve">工作单位：                                                         </w:t>
      </w:r>
    </w:p>
    <w:p>
      <w:pPr>
        <w:adjustRightInd w:val="0"/>
        <w:snapToGrid w:val="0"/>
        <w:spacing w:before="156" w:beforeLines="50" w:after="156" w:afterLines="50" w:line="360" w:lineRule="auto"/>
        <w:jc w:val="left"/>
        <w:rPr>
          <w:rFonts w:ascii="宋体" w:hAnsi="宋体"/>
          <w:bCs/>
          <w:sz w:val="24"/>
        </w:rPr>
      </w:pPr>
      <w:r>
        <w:rPr>
          <w:rFonts w:hint="eastAsia" w:ascii="宋体" w:hAnsi="宋体"/>
          <w:bCs/>
          <w:sz w:val="24"/>
        </w:rPr>
        <w:t xml:space="preserve">联系电话：                                                         </w:t>
      </w:r>
    </w:p>
    <w:p>
      <w:pPr>
        <w:adjustRightInd w:val="0"/>
        <w:snapToGrid w:val="0"/>
        <w:spacing w:before="156" w:beforeLines="50" w:after="156" w:afterLines="50" w:line="360" w:lineRule="auto"/>
        <w:jc w:val="left"/>
        <w:rPr>
          <w:rFonts w:ascii="宋体" w:hAnsi="宋体"/>
          <w:bCs/>
          <w:sz w:val="24"/>
        </w:rPr>
      </w:pPr>
      <w:r>
        <w:rPr>
          <w:rFonts w:hint="eastAsia" w:ascii="宋体" w:hAnsi="宋体"/>
          <w:bCs/>
          <w:sz w:val="24"/>
        </w:rPr>
        <w:t xml:space="preserve">电子邮箱：                                                        </w:t>
      </w:r>
    </w:p>
    <w:p>
      <w:pPr>
        <w:adjustRightInd w:val="0"/>
        <w:snapToGrid w:val="0"/>
        <w:spacing w:before="156" w:beforeLines="50" w:after="156" w:afterLines="50" w:line="360" w:lineRule="auto"/>
        <w:jc w:val="left"/>
        <w:rPr>
          <w:rFonts w:ascii="宋体" w:hAnsi="宋体"/>
          <w:bCs/>
          <w:sz w:val="24"/>
        </w:rPr>
      </w:pPr>
      <w:r>
        <w:rPr>
          <w:rFonts w:hint="eastAsia" w:ascii="宋体" w:hAnsi="宋体"/>
          <w:bCs/>
          <w:sz w:val="24"/>
        </w:rPr>
        <w:t xml:space="preserve">调查内容： </w:t>
      </w:r>
    </w:p>
    <w:p>
      <w:pPr>
        <w:numPr>
          <w:ilvl w:val="0"/>
          <w:numId w:val="12"/>
        </w:numPr>
        <w:adjustRightInd w:val="0"/>
        <w:snapToGrid w:val="0"/>
        <w:spacing w:before="156" w:beforeLines="50" w:after="156" w:afterLines="50" w:line="360" w:lineRule="auto"/>
        <w:jc w:val="left"/>
        <w:rPr>
          <w:rFonts w:hint="eastAsia" w:ascii="宋体" w:hAnsi="宋体"/>
          <w:bCs/>
          <w:sz w:val="24"/>
        </w:rPr>
      </w:pPr>
      <w:r>
        <w:rPr>
          <w:rFonts w:hint="eastAsia" w:ascii="宋体" w:hAnsi="宋体"/>
          <w:bCs/>
          <w:sz w:val="24"/>
        </w:rPr>
        <w:t xml:space="preserve">您是否在本报告中获取了您所要了解的信息？            □是   □否 </w:t>
      </w:r>
    </w:p>
    <w:p>
      <w:pPr>
        <w:numPr>
          <w:ilvl w:val="0"/>
          <w:numId w:val="12"/>
        </w:numPr>
        <w:adjustRightInd w:val="0"/>
        <w:snapToGrid w:val="0"/>
        <w:spacing w:before="156" w:beforeLines="50" w:after="156" w:afterLines="50" w:line="360" w:lineRule="auto"/>
        <w:jc w:val="left"/>
        <w:rPr>
          <w:rFonts w:ascii="宋体" w:hAnsi="宋体"/>
          <w:bCs/>
          <w:sz w:val="24"/>
        </w:rPr>
      </w:pPr>
      <w:r>
        <w:rPr>
          <w:rFonts w:hint="eastAsia" w:ascii="宋体" w:hAnsi="宋体"/>
          <w:bCs/>
          <w:sz w:val="24"/>
        </w:rPr>
        <w:t xml:space="preserve">您认为本报告是否全面反映了本公司质量诚信状况？      □是   □否 </w:t>
      </w:r>
    </w:p>
    <w:p>
      <w:pPr>
        <w:numPr>
          <w:ilvl w:val="0"/>
          <w:numId w:val="12"/>
        </w:numPr>
        <w:adjustRightInd w:val="0"/>
        <w:snapToGrid w:val="0"/>
        <w:spacing w:before="156" w:beforeLines="50" w:after="156" w:afterLines="50" w:line="360" w:lineRule="auto"/>
        <w:jc w:val="left"/>
        <w:rPr>
          <w:rFonts w:ascii="宋体" w:hAnsi="宋体"/>
          <w:bCs/>
          <w:sz w:val="24"/>
        </w:rPr>
      </w:pPr>
      <w:r>
        <w:rPr>
          <w:rFonts w:hint="eastAsia" w:ascii="宋体" w:hAnsi="宋体"/>
          <w:bCs/>
          <w:sz w:val="24"/>
        </w:rPr>
        <w:t xml:space="preserve">您认为本报告是否全面反映了本公司质量管理状况？      □是   □否 </w:t>
      </w:r>
    </w:p>
    <w:p>
      <w:pPr>
        <w:numPr>
          <w:ilvl w:val="0"/>
          <w:numId w:val="12"/>
        </w:numPr>
        <w:adjustRightInd w:val="0"/>
        <w:snapToGrid w:val="0"/>
        <w:spacing w:before="156" w:beforeLines="50" w:after="156" w:afterLines="50" w:line="360" w:lineRule="auto"/>
        <w:jc w:val="left"/>
        <w:rPr>
          <w:rFonts w:ascii="宋体" w:hAnsi="宋体"/>
          <w:bCs/>
          <w:sz w:val="24"/>
        </w:rPr>
      </w:pPr>
      <w:r>
        <w:rPr>
          <w:rFonts w:hint="eastAsia" w:ascii="宋体" w:hAnsi="宋体"/>
          <w:bCs/>
          <w:sz w:val="24"/>
        </w:rPr>
        <w:t xml:space="preserve">您认为本报告是否全面反映了本公司相关方质量诚信状况？□是   □否 </w:t>
      </w:r>
    </w:p>
    <w:p>
      <w:pPr>
        <w:numPr>
          <w:ilvl w:val="0"/>
          <w:numId w:val="12"/>
        </w:numPr>
        <w:adjustRightInd w:val="0"/>
        <w:snapToGrid w:val="0"/>
        <w:spacing w:before="156" w:beforeLines="50" w:after="156" w:afterLines="50" w:line="360" w:lineRule="auto"/>
        <w:jc w:val="left"/>
        <w:rPr>
          <w:rFonts w:ascii="宋体" w:hAnsi="宋体"/>
          <w:bCs/>
          <w:sz w:val="24"/>
        </w:rPr>
      </w:pPr>
      <w:r>
        <w:rPr>
          <w:rFonts w:hint="eastAsia" w:ascii="宋体" w:hAnsi="宋体"/>
          <w:bCs/>
          <w:sz w:val="24"/>
        </w:rPr>
        <w:t>上述内容如选择“否”请说明具体内容，同时欢迎提出相应意见和建议。</w:t>
      </w:r>
    </w:p>
    <w:sectPr>
      <w:pgSz w:w="11906" w:h="16838"/>
      <w:pgMar w:top="1440" w:right="1800" w:bottom="1440" w:left="1800" w:header="851" w:footer="850"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Theme="minorEastAsia"/>
        <w:lang w:eastAsia="zh-CN"/>
      </w:rPr>
    </w:pPr>
    <w:r>
      <w:rPr>
        <w:rFonts w:hint="eastAsia"/>
        <w:lang w:val="en-US" w:eastAsia="zh-CN"/>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Theme="minorEastAsia"/>
        <w:lang w:eastAsia="zh-CN"/>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pPr>
    <w:r>
      <w:rPr>
        <w:rFonts w:hint="eastAsia"/>
      </w:rPr>
      <w:t>201</w:t>
    </w:r>
    <w:r>
      <w:t>7</w:t>
    </w:r>
    <w:r>
      <w:rPr>
        <w:rFonts w:hint="eastAsia"/>
      </w:rPr>
      <w:t xml:space="preserve"> 年度《企业质量信用报告》                                  青岛华烁高科新能源技术有限公司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4EB6C2"/>
    <w:multiLevelType w:val="singleLevel"/>
    <w:tmpl w:val="834EB6C2"/>
    <w:lvl w:ilvl="0" w:tentative="0">
      <w:start w:val="2017"/>
      <w:numFmt w:val="decimal"/>
      <w:suff w:val="space"/>
      <w:lvlText w:val="%1."/>
      <w:lvlJc w:val="left"/>
    </w:lvl>
  </w:abstractNum>
  <w:abstractNum w:abstractNumId="1">
    <w:nsid w:val="140416C4"/>
    <w:multiLevelType w:val="multilevel"/>
    <w:tmpl w:val="140416C4"/>
    <w:lvl w:ilvl="0" w:tentative="0">
      <w:start w:val="1"/>
      <w:numFmt w:val="japaneseCounting"/>
      <w:lvlText w:val="（%1）"/>
      <w:lvlJc w:val="left"/>
      <w:pPr>
        <w:ind w:left="765" w:hanging="765"/>
      </w:pPr>
      <w:rPr>
        <w:rFonts w:hint="default"/>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A9E60ED"/>
    <w:multiLevelType w:val="multilevel"/>
    <w:tmpl w:val="1A9E60ED"/>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B9D7D2E"/>
    <w:multiLevelType w:val="multilevel"/>
    <w:tmpl w:val="1B9D7D2E"/>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C603A56"/>
    <w:multiLevelType w:val="multilevel"/>
    <w:tmpl w:val="1C603A56"/>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45C1DD7"/>
    <w:multiLevelType w:val="multilevel"/>
    <w:tmpl w:val="245C1DD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B3D55AE"/>
    <w:multiLevelType w:val="singleLevel"/>
    <w:tmpl w:val="2B3D55AE"/>
    <w:lvl w:ilvl="0" w:tentative="0">
      <w:start w:val="1"/>
      <w:numFmt w:val="decimal"/>
      <w:suff w:val="nothing"/>
      <w:lvlText w:val="%1、"/>
      <w:lvlJc w:val="left"/>
    </w:lvl>
  </w:abstractNum>
  <w:abstractNum w:abstractNumId="7">
    <w:nsid w:val="33267F58"/>
    <w:multiLevelType w:val="multilevel"/>
    <w:tmpl w:val="33267F58"/>
    <w:lvl w:ilvl="0" w:tentative="0">
      <w:start w:val="2"/>
      <w:numFmt w:val="bullet"/>
      <w:lvlText w:val="●"/>
      <w:lvlJc w:val="left"/>
      <w:pPr>
        <w:ind w:left="902" w:hanging="360"/>
      </w:pPr>
      <w:rPr>
        <w:rFonts w:hint="eastAsia" w:ascii="宋体" w:hAnsi="宋体" w:eastAsia="宋体" w:cstheme="minorBidi"/>
        <w:b/>
        <w:color w:val="226DDD"/>
        <w:sz w:val="27"/>
      </w:rPr>
    </w:lvl>
    <w:lvl w:ilvl="1" w:tentative="0">
      <w:start w:val="1"/>
      <w:numFmt w:val="bullet"/>
      <w:lvlText w:val=""/>
      <w:lvlJc w:val="left"/>
      <w:pPr>
        <w:ind w:left="1382" w:hanging="420"/>
      </w:pPr>
      <w:rPr>
        <w:rFonts w:hint="default" w:ascii="Wingdings" w:hAnsi="Wingdings"/>
      </w:rPr>
    </w:lvl>
    <w:lvl w:ilvl="2" w:tentative="0">
      <w:start w:val="1"/>
      <w:numFmt w:val="bullet"/>
      <w:lvlText w:val=""/>
      <w:lvlJc w:val="left"/>
      <w:pPr>
        <w:ind w:left="1802" w:hanging="420"/>
      </w:pPr>
      <w:rPr>
        <w:rFonts w:hint="default" w:ascii="Wingdings" w:hAnsi="Wingdings"/>
      </w:rPr>
    </w:lvl>
    <w:lvl w:ilvl="3" w:tentative="0">
      <w:start w:val="1"/>
      <w:numFmt w:val="bullet"/>
      <w:lvlText w:val=""/>
      <w:lvlJc w:val="left"/>
      <w:pPr>
        <w:ind w:left="2222" w:hanging="420"/>
      </w:pPr>
      <w:rPr>
        <w:rFonts w:hint="default" w:ascii="Wingdings" w:hAnsi="Wingdings"/>
      </w:rPr>
    </w:lvl>
    <w:lvl w:ilvl="4" w:tentative="0">
      <w:start w:val="1"/>
      <w:numFmt w:val="bullet"/>
      <w:lvlText w:val=""/>
      <w:lvlJc w:val="left"/>
      <w:pPr>
        <w:ind w:left="2642" w:hanging="420"/>
      </w:pPr>
      <w:rPr>
        <w:rFonts w:hint="default" w:ascii="Wingdings" w:hAnsi="Wingdings"/>
      </w:rPr>
    </w:lvl>
    <w:lvl w:ilvl="5" w:tentative="0">
      <w:start w:val="1"/>
      <w:numFmt w:val="bullet"/>
      <w:lvlText w:val=""/>
      <w:lvlJc w:val="left"/>
      <w:pPr>
        <w:ind w:left="3062" w:hanging="420"/>
      </w:pPr>
      <w:rPr>
        <w:rFonts w:hint="default" w:ascii="Wingdings" w:hAnsi="Wingdings"/>
      </w:rPr>
    </w:lvl>
    <w:lvl w:ilvl="6" w:tentative="0">
      <w:start w:val="1"/>
      <w:numFmt w:val="bullet"/>
      <w:lvlText w:val=""/>
      <w:lvlJc w:val="left"/>
      <w:pPr>
        <w:ind w:left="3482" w:hanging="420"/>
      </w:pPr>
      <w:rPr>
        <w:rFonts w:hint="default" w:ascii="Wingdings" w:hAnsi="Wingdings"/>
      </w:rPr>
    </w:lvl>
    <w:lvl w:ilvl="7" w:tentative="0">
      <w:start w:val="1"/>
      <w:numFmt w:val="bullet"/>
      <w:lvlText w:val=""/>
      <w:lvlJc w:val="left"/>
      <w:pPr>
        <w:ind w:left="3902" w:hanging="420"/>
      </w:pPr>
      <w:rPr>
        <w:rFonts w:hint="default" w:ascii="Wingdings" w:hAnsi="Wingdings"/>
      </w:rPr>
    </w:lvl>
    <w:lvl w:ilvl="8" w:tentative="0">
      <w:start w:val="1"/>
      <w:numFmt w:val="bullet"/>
      <w:lvlText w:val=""/>
      <w:lvlJc w:val="left"/>
      <w:pPr>
        <w:ind w:left="4322" w:hanging="420"/>
      </w:pPr>
      <w:rPr>
        <w:rFonts w:hint="default" w:ascii="Wingdings" w:hAnsi="Wingdings"/>
      </w:rPr>
    </w:lvl>
  </w:abstractNum>
  <w:abstractNum w:abstractNumId="8">
    <w:nsid w:val="65D30F5C"/>
    <w:multiLevelType w:val="multilevel"/>
    <w:tmpl w:val="65D30F5C"/>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FC65B32"/>
    <w:multiLevelType w:val="multilevel"/>
    <w:tmpl w:val="6FC65B32"/>
    <w:lvl w:ilvl="0" w:tentative="0">
      <w:start w:val="2"/>
      <w:numFmt w:val="bullet"/>
      <w:lvlText w:val="●"/>
      <w:lvlJc w:val="left"/>
      <w:pPr>
        <w:ind w:left="902" w:hanging="360"/>
      </w:pPr>
      <w:rPr>
        <w:rFonts w:hint="eastAsia" w:ascii="宋体" w:hAnsi="宋体" w:eastAsia="宋体" w:cstheme="minorBidi"/>
        <w:b/>
        <w:color w:val="226DDD"/>
        <w:sz w:val="27"/>
      </w:rPr>
    </w:lvl>
    <w:lvl w:ilvl="1" w:tentative="0">
      <w:start w:val="1"/>
      <w:numFmt w:val="bullet"/>
      <w:lvlText w:val=""/>
      <w:lvlJc w:val="left"/>
      <w:pPr>
        <w:ind w:left="1382" w:hanging="420"/>
      </w:pPr>
      <w:rPr>
        <w:rFonts w:hint="default" w:ascii="Wingdings" w:hAnsi="Wingdings"/>
      </w:rPr>
    </w:lvl>
    <w:lvl w:ilvl="2" w:tentative="0">
      <w:start w:val="1"/>
      <w:numFmt w:val="bullet"/>
      <w:lvlText w:val=""/>
      <w:lvlJc w:val="left"/>
      <w:pPr>
        <w:ind w:left="1802" w:hanging="420"/>
      </w:pPr>
      <w:rPr>
        <w:rFonts w:hint="default" w:ascii="Wingdings" w:hAnsi="Wingdings"/>
      </w:rPr>
    </w:lvl>
    <w:lvl w:ilvl="3" w:tentative="0">
      <w:start w:val="1"/>
      <w:numFmt w:val="bullet"/>
      <w:lvlText w:val=""/>
      <w:lvlJc w:val="left"/>
      <w:pPr>
        <w:ind w:left="2222" w:hanging="420"/>
      </w:pPr>
      <w:rPr>
        <w:rFonts w:hint="default" w:ascii="Wingdings" w:hAnsi="Wingdings"/>
      </w:rPr>
    </w:lvl>
    <w:lvl w:ilvl="4" w:tentative="0">
      <w:start w:val="1"/>
      <w:numFmt w:val="bullet"/>
      <w:lvlText w:val=""/>
      <w:lvlJc w:val="left"/>
      <w:pPr>
        <w:ind w:left="2642" w:hanging="420"/>
      </w:pPr>
      <w:rPr>
        <w:rFonts w:hint="default" w:ascii="Wingdings" w:hAnsi="Wingdings"/>
      </w:rPr>
    </w:lvl>
    <w:lvl w:ilvl="5" w:tentative="0">
      <w:start w:val="1"/>
      <w:numFmt w:val="bullet"/>
      <w:lvlText w:val=""/>
      <w:lvlJc w:val="left"/>
      <w:pPr>
        <w:ind w:left="3062" w:hanging="420"/>
      </w:pPr>
      <w:rPr>
        <w:rFonts w:hint="default" w:ascii="Wingdings" w:hAnsi="Wingdings"/>
      </w:rPr>
    </w:lvl>
    <w:lvl w:ilvl="6" w:tentative="0">
      <w:start w:val="1"/>
      <w:numFmt w:val="bullet"/>
      <w:lvlText w:val=""/>
      <w:lvlJc w:val="left"/>
      <w:pPr>
        <w:ind w:left="3482" w:hanging="420"/>
      </w:pPr>
      <w:rPr>
        <w:rFonts w:hint="default" w:ascii="Wingdings" w:hAnsi="Wingdings"/>
      </w:rPr>
    </w:lvl>
    <w:lvl w:ilvl="7" w:tentative="0">
      <w:start w:val="1"/>
      <w:numFmt w:val="bullet"/>
      <w:lvlText w:val=""/>
      <w:lvlJc w:val="left"/>
      <w:pPr>
        <w:ind w:left="3902" w:hanging="420"/>
      </w:pPr>
      <w:rPr>
        <w:rFonts w:hint="default" w:ascii="Wingdings" w:hAnsi="Wingdings"/>
      </w:rPr>
    </w:lvl>
    <w:lvl w:ilvl="8" w:tentative="0">
      <w:start w:val="1"/>
      <w:numFmt w:val="bullet"/>
      <w:lvlText w:val=""/>
      <w:lvlJc w:val="left"/>
      <w:pPr>
        <w:ind w:left="4322" w:hanging="420"/>
      </w:pPr>
      <w:rPr>
        <w:rFonts w:hint="default" w:ascii="Wingdings" w:hAnsi="Wingdings"/>
      </w:rPr>
    </w:lvl>
  </w:abstractNum>
  <w:abstractNum w:abstractNumId="10">
    <w:nsid w:val="7506309A"/>
    <w:multiLevelType w:val="multilevel"/>
    <w:tmpl w:val="7506309A"/>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6403844"/>
    <w:multiLevelType w:val="multilevel"/>
    <w:tmpl w:val="76403844"/>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10"/>
  </w:num>
  <w:num w:numId="3">
    <w:abstractNumId w:val="9"/>
  </w:num>
  <w:num w:numId="4">
    <w:abstractNumId w:val="7"/>
  </w:num>
  <w:num w:numId="5">
    <w:abstractNumId w:val="3"/>
  </w:num>
  <w:num w:numId="6">
    <w:abstractNumId w:val="5"/>
  </w:num>
  <w:num w:numId="7">
    <w:abstractNumId w:val="4"/>
  </w:num>
  <w:num w:numId="8">
    <w:abstractNumId w:val="2"/>
  </w:num>
  <w:num w:numId="9">
    <w:abstractNumId w:val="0"/>
  </w:num>
  <w:num w:numId="10">
    <w:abstractNumId w:val="11"/>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417"/>
    <w:rsid w:val="0002215E"/>
    <w:rsid w:val="00040A67"/>
    <w:rsid w:val="000D7D6B"/>
    <w:rsid w:val="000E75E8"/>
    <w:rsid w:val="00191443"/>
    <w:rsid w:val="001B794E"/>
    <w:rsid w:val="001F7F3A"/>
    <w:rsid w:val="0023672B"/>
    <w:rsid w:val="00282EE1"/>
    <w:rsid w:val="00295709"/>
    <w:rsid w:val="002E00DD"/>
    <w:rsid w:val="00312B0B"/>
    <w:rsid w:val="00313288"/>
    <w:rsid w:val="00333A03"/>
    <w:rsid w:val="00382022"/>
    <w:rsid w:val="00391CF1"/>
    <w:rsid w:val="00391D35"/>
    <w:rsid w:val="003D663D"/>
    <w:rsid w:val="003D67B8"/>
    <w:rsid w:val="00406F19"/>
    <w:rsid w:val="00434671"/>
    <w:rsid w:val="00450BA4"/>
    <w:rsid w:val="004658F8"/>
    <w:rsid w:val="004A60F8"/>
    <w:rsid w:val="004C3365"/>
    <w:rsid w:val="004E7D70"/>
    <w:rsid w:val="00576C04"/>
    <w:rsid w:val="00582E08"/>
    <w:rsid w:val="005F4F60"/>
    <w:rsid w:val="00601417"/>
    <w:rsid w:val="006D7C60"/>
    <w:rsid w:val="006F0A52"/>
    <w:rsid w:val="0078494B"/>
    <w:rsid w:val="007979BC"/>
    <w:rsid w:val="008238CB"/>
    <w:rsid w:val="00824D17"/>
    <w:rsid w:val="00824D29"/>
    <w:rsid w:val="008A4988"/>
    <w:rsid w:val="008E23E4"/>
    <w:rsid w:val="00941BCF"/>
    <w:rsid w:val="0099657D"/>
    <w:rsid w:val="009C2702"/>
    <w:rsid w:val="009F2803"/>
    <w:rsid w:val="00A4721D"/>
    <w:rsid w:val="00A4739E"/>
    <w:rsid w:val="00A62791"/>
    <w:rsid w:val="00AD55F0"/>
    <w:rsid w:val="00B33651"/>
    <w:rsid w:val="00B60797"/>
    <w:rsid w:val="00B7432D"/>
    <w:rsid w:val="00C1685A"/>
    <w:rsid w:val="00CB5891"/>
    <w:rsid w:val="00CC4D4E"/>
    <w:rsid w:val="00CE0445"/>
    <w:rsid w:val="00D34804"/>
    <w:rsid w:val="00D71CC2"/>
    <w:rsid w:val="00D83F34"/>
    <w:rsid w:val="00D91503"/>
    <w:rsid w:val="00D976D1"/>
    <w:rsid w:val="00DB0706"/>
    <w:rsid w:val="00E01083"/>
    <w:rsid w:val="00E028B5"/>
    <w:rsid w:val="00E03131"/>
    <w:rsid w:val="00E40032"/>
    <w:rsid w:val="00E629A5"/>
    <w:rsid w:val="00E80860"/>
    <w:rsid w:val="00E93ACE"/>
    <w:rsid w:val="00EC4185"/>
    <w:rsid w:val="00EF2D9D"/>
    <w:rsid w:val="00F241CD"/>
    <w:rsid w:val="00F44042"/>
    <w:rsid w:val="00F848F4"/>
    <w:rsid w:val="00FA7C5B"/>
    <w:rsid w:val="00FB0099"/>
    <w:rsid w:val="00FD2416"/>
    <w:rsid w:val="00FD6F68"/>
    <w:rsid w:val="03685549"/>
    <w:rsid w:val="173A0E74"/>
    <w:rsid w:val="17CB52E2"/>
    <w:rsid w:val="19741792"/>
    <w:rsid w:val="1A5F3EB5"/>
    <w:rsid w:val="1EED1016"/>
    <w:rsid w:val="29D12497"/>
    <w:rsid w:val="31BC52E1"/>
    <w:rsid w:val="34940BFD"/>
    <w:rsid w:val="351C7899"/>
    <w:rsid w:val="3A5F649B"/>
    <w:rsid w:val="3EF10FBE"/>
    <w:rsid w:val="44333B7F"/>
    <w:rsid w:val="51DF157D"/>
    <w:rsid w:val="6FDC61A9"/>
    <w:rsid w:val="751845B7"/>
    <w:rsid w:val="75E51B36"/>
    <w:rsid w:val="765B3951"/>
    <w:rsid w:val="767E1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uiPriority w:val="1"/>
  </w:style>
  <w:style w:type="table" w:default="1" w:styleId="7">
    <w:name w:val="Normal Table"/>
    <w:semiHidden/>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footer"/>
    <w:basedOn w:val="1"/>
    <w:link w:val="11"/>
    <w:unhideWhenUsed/>
    <w:uiPriority w:val="99"/>
    <w:pPr>
      <w:tabs>
        <w:tab w:val="center" w:pos="4153"/>
        <w:tab w:val="right" w:pos="8306"/>
      </w:tabs>
      <w:snapToGrid w:val="0"/>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5">
    <w:name w:val="Strong"/>
    <w:basedOn w:val="4"/>
    <w:qFormat/>
    <w:uiPriority w:val="22"/>
    <w:rPr>
      <w:b/>
      <w:bCs/>
    </w:rPr>
  </w:style>
  <w:style w:type="character" w:styleId="6">
    <w:name w:val="Hyperlink"/>
    <w:basedOn w:val="4"/>
    <w:unhideWhenUsed/>
    <w:uiPriority w:val="99"/>
    <w:rPr>
      <w:color w:val="0563C1" w:themeColor="hyperlink"/>
      <w:u w:val="single"/>
      <w14:textFill>
        <w14:solidFill>
          <w14:schemeClr w14:val="hlink"/>
        </w14:solidFill>
      </w14:textFill>
    </w:rPr>
  </w:style>
  <w:style w:type="table" w:styleId="8">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9">
    <w:name w:val="List Paragraph"/>
    <w:basedOn w:val="1"/>
    <w:qFormat/>
    <w:uiPriority w:val="34"/>
    <w:pPr>
      <w:ind w:firstLine="420" w:firstLineChars="200"/>
    </w:pPr>
  </w:style>
  <w:style w:type="character" w:customStyle="1" w:styleId="10">
    <w:name w:val="页眉 Char"/>
    <w:basedOn w:val="4"/>
    <w:link w:val="3"/>
    <w:uiPriority w:val="99"/>
    <w:rPr>
      <w:sz w:val="18"/>
      <w:szCs w:val="18"/>
    </w:rPr>
  </w:style>
  <w:style w:type="character" w:customStyle="1" w:styleId="11">
    <w:name w:val="页脚 Char"/>
    <w:basedOn w:val="4"/>
    <w:link w:val="2"/>
    <w:qFormat/>
    <w:uiPriority w:val="99"/>
    <w:rPr>
      <w:sz w:val="18"/>
      <w:szCs w:val="18"/>
    </w:rPr>
  </w:style>
  <w:style w:type="paragraph" w:customStyle="1" w:styleId="12">
    <w:name w:val="WPSOffice手动目录 1"/>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 w:type="paragraph" w:customStyle="1" w:styleId="14">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d31ce16-6db5-4c2d-bfa1-29d47dcd8a71}"/>
        <w:style w:val=""/>
        <w:category>
          <w:name w:val="常规"/>
          <w:gallery w:val="placeholder"/>
        </w:category>
        <w:types>
          <w:type w:val="bbPlcHdr"/>
        </w:types>
        <w:behaviors>
          <w:behavior w:val="content"/>
        </w:behaviors>
        <w:description w:val=""/>
        <w:guid w:val="{4d31ce16-6db5-4c2d-bfa1-29d47dcd8a71}"/>
      </w:docPartPr>
      <w:docPartBody>
        <w:p>
          <w:r>
            <w:rPr>
              <w:color w:val="808080"/>
            </w:rPr>
            <w:t>单击此处输入文字。</w:t>
          </w:r>
        </w:p>
      </w:docPartBody>
    </w:docPart>
    <w:docPart>
      <w:docPartPr>
        <w:name w:val="{059c6fca-8a6d-42f3-bb64-6ccffe07e14c}"/>
        <w:style w:val=""/>
        <w:category>
          <w:name w:val="常规"/>
          <w:gallery w:val="placeholder"/>
        </w:category>
        <w:types>
          <w:type w:val="bbPlcHdr"/>
        </w:types>
        <w:behaviors>
          <w:behavior w:val="content"/>
        </w:behaviors>
        <w:description w:val=""/>
        <w:guid w:val="{059c6fca-8a6d-42f3-bb64-6ccffe07e14c}"/>
      </w:docPartPr>
      <w:docPartBody>
        <w:p>
          <w:r>
            <w:rPr>
              <w:color w:val="808080"/>
            </w:rPr>
            <w:t>单击此处输入文字。</w:t>
          </w:r>
        </w:p>
      </w:docPartBody>
    </w:docPart>
    <w:docPart>
      <w:docPartPr>
        <w:name w:val="{d7c595fa-c29f-445a-b276-4549f83e043a}"/>
        <w:style w:val=""/>
        <w:category>
          <w:name w:val="常规"/>
          <w:gallery w:val="placeholder"/>
        </w:category>
        <w:types>
          <w:type w:val="bbPlcHdr"/>
        </w:types>
        <w:behaviors>
          <w:behavior w:val="content"/>
        </w:behaviors>
        <w:description w:val=""/>
        <w:guid w:val="{d7c595fa-c29f-445a-b276-4549f83e043a}"/>
      </w:docPartPr>
      <w:docPartBody>
        <w:p>
          <w:r>
            <w:rPr>
              <w:color w:val="808080"/>
            </w:rPr>
            <w:t>单击此处输入文字。</w:t>
          </w:r>
        </w:p>
      </w:docPartBody>
    </w:docPart>
    <w:docPart>
      <w:docPartPr>
        <w:name w:val="{7be874ea-89a2-426c-a2c9-ea6745f52ffb}"/>
        <w:style w:val=""/>
        <w:category>
          <w:name w:val="常规"/>
          <w:gallery w:val="placeholder"/>
        </w:category>
        <w:types>
          <w:type w:val="bbPlcHdr"/>
        </w:types>
        <w:behaviors>
          <w:behavior w:val="content"/>
        </w:behaviors>
        <w:description w:val=""/>
        <w:guid w:val="{7be874ea-89a2-426c-a2c9-ea6745f52ffb}"/>
      </w:docPartPr>
      <w:docPartBody>
        <w:p>
          <w:r>
            <w:rPr>
              <w:color w:val="808080"/>
            </w:rPr>
            <w:t>单击此处输入文字。</w:t>
          </w:r>
        </w:p>
      </w:docPartBody>
    </w:docPart>
    <w:docPart>
      <w:docPartPr>
        <w:name w:val="{25525927-0899-4310-87e2-fc54a168f58b}"/>
        <w:style w:val=""/>
        <w:category>
          <w:name w:val="常规"/>
          <w:gallery w:val="placeholder"/>
        </w:category>
        <w:types>
          <w:type w:val="bbPlcHdr"/>
        </w:types>
        <w:behaviors>
          <w:behavior w:val="content"/>
        </w:behaviors>
        <w:description w:val=""/>
        <w:guid w:val="{25525927-0899-4310-87e2-fc54a168f58b}"/>
      </w:docPartPr>
      <w:docPartBody>
        <w:p>
          <w:r>
            <w:rPr>
              <w:color w:val="808080"/>
            </w:rPr>
            <w:t>单击此处输入文字。</w:t>
          </w:r>
        </w:p>
      </w:docPartBody>
    </w:docPart>
    <w:docPart>
      <w:docPartPr>
        <w:name w:val="{7cb8fdd4-0de1-4282-beff-c4934cbd28f4}"/>
        <w:style w:val=""/>
        <w:category>
          <w:name w:val="常规"/>
          <w:gallery w:val="placeholder"/>
        </w:category>
        <w:types>
          <w:type w:val="bbPlcHdr"/>
        </w:types>
        <w:behaviors>
          <w:behavior w:val="content"/>
        </w:behaviors>
        <w:description w:val=""/>
        <w:guid w:val="{7cb8fdd4-0de1-4282-beff-c4934cbd28f4}"/>
      </w:docPartPr>
      <w:docPartBody>
        <w:p>
          <w:r>
            <w:rPr>
              <w:color w:val="808080"/>
            </w:rPr>
            <w:t>单击此处输入文字。</w:t>
          </w:r>
        </w:p>
      </w:docPartBody>
    </w:docPart>
    <w:docPart>
      <w:docPartPr>
        <w:name w:val="{d2000722-34e5-4813-abb5-226dd7160a79}"/>
        <w:style w:val=""/>
        <w:category>
          <w:name w:val="常规"/>
          <w:gallery w:val="placeholder"/>
        </w:category>
        <w:types>
          <w:type w:val="bbPlcHdr"/>
        </w:types>
        <w:behaviors>
          <w:behavior w:val="content"/>
        </w:behaviors>
        <w:description w:val=""/>
        <w:guid w:val="{d2000722-34e5-4813-abb5-226dd7160a79}"/>
      </w:docPartPr>
      <w:docPartBody>
        <w:p>
          <w:r>
            <w:rPr>
              <w:color w:val="808080"/>
            </w:rPr>
            <w:t>单击此处输入文字。</w:t>
          </w:r>
        </w:p>
      </w:docPartBody>
    </w:docPart>
    <w:docPart>
      <w:docPartPr>
        <w:name w:val="{42aece89-54d5-4441-8d48-941eff70cd62}"/>
        <w:style w:val=""/>
        <w:category>
          <w:name w:val="常规"/>
          <w:gallery w:val="placeholder"/>
        </w:category>
        <w:types>
          <w:type w:val="bbPlcHdr"/>
        </w:types>
        <w:behaviors>
          <w:behavior w:val="content"/>
        </w:behaviors>
        <w:description w:val=""/>
        <w:guid w:val="{42aece89-54d5-4441-8d48-941eff70cd62}"/>
      </w:docPartPr>
      <w:docPartBody>
        <w:p>
          <w:r>
            <w:rPr>
              <w:color w:val="808080"/>
            </w:rPr>
            <w:t>单击此处输入文字。</w:t>
          </w:r>
        </w:p>
      </w:docPartBody>
    </w:docPart>
    <w:docPart>
      <w:docPartPr>
        <w:name w:val="{c8f5190d-ede9-4e69-a715-9aa62fdc33d4}"/>
        <w:style w:val=""/>
        <w:category>
          <w:name w:val="常规"/>
          <w:gallery w:val="placeholder"/>
        </w:category>
        <w:types>
          <w:type w:val="bbPlcHdr"/>
        </w:types>
        <w:behaviors>
          <w:behavior w:val="content"/>
        </w:behaviors>
        <w:description w:val=""/>
        <w:guid w:val="{c8f5190d-ede9-4e69-a715-9aa62fdc33d4}"/>
      </w:docPartPr>
      <w:docPartBody>
        <w:p>
          <w:r>
            <w:rPr>
              <w:color w:val="808080"/>
            </w:rPr>
            <w:t>单击此处输入文字。</w:t>
          </w:r>
        </w:p>
      </w:docPartBody>
    </w:docPart>
    <w:docPart>
      <w:docPartPr>
        <w:name w:val="{b8861931-7de4-4feb-b969-cd3f14bd0f65}"/>
        <w:style w:val=""/>
        <w:category>
          <w:name w:val="常规"/>
          <w:gallery w:val="placeholder"/>
        </w:category>
        <w:types>
          <w:type w:val="bbPlcHdr"/>
        </w:types>
        <w:behaviors>
          <w:behavior w:val="content"/>
        </w:behaviors>
        <w:description w:val=""/>
        <w:guid w:val="{b8861931-7de4-4feb-b969-cd3f14bd0f65}"/>
      </w:docPartPr>
      <w:docPartBody>
        <w:p>
          <w:r>
            <w:rPr>
              <w:color w:val="808080"/>
            </w:rPr>
            <w:t>单击此处输入文字。</w:t>
          </w:r>
        </w:p>
      </w:docPartBody>
    </w:docPart>
    <w:docPart>
      <w:docPartPr>
        <w:name w:val="{cfe41a68-338f-42c0-af03-a692c8fb9c2b}"/>
        <w:style w:val=""/>
        <w:category>
          <w:name w:val="常规"/>
          <w:gallery w:val="placeholder"/>
        </w:category>
        <w:types>
          <w:type w:val="bbPlcHdr"/>
        </w:types>
        <w:behaviors>
          <w:behavior w:val="content"/>
        </w:behaviors>
        <w:description w:val=""/>
        <w:guid w:val="{cfe41a68-338f-42c0-af03-a692c8fb9c2b}"/>
      </w:docPartPr>
      <w:docPartBody>
        <w:p>
          <w:r>
            <w:rPr>
              <w:color w:val="808080"/>
            </w:rPr>
            <w:t>单击此处输入文字。</w:t>
          </w:r>
        </w:p>
      </w:docPartBody>
    </w:docPart>
    <w:docPart>
      <w:docPartPr>
        <w:name w:val="{7748ef8e-e267-4889-abe3-1d61e8c36b83}"/>
        <w:style w:val=""/>
        <w:category>
          <w:name w:val="常规"/>
          <w:gallery w:val="placeholder"/>
        </w:category>
        <w:types>
          <w:type w:val="bbPlcHdr"/>
        </w:types>
        <w:behaviors>
          <w:behavior w:val="content"/>
        </w:behaviors>
        <w:description w:val=""/>
        <w:guid w:val="{7748ef8e-e267-4889-abe3-1d61e8c36b83}"/>
      </w:docPartPr>
      <w:docPartBody>
        <w:p>
          <w:r>
            <w:rPr>
              <w:color w:val="808080"/>
            </w:rPr>
            <w:t>单击此处输入文字。</w:t>
          </w:r>
        </w:p>
      </w:docPartBody>
    </w:docPart>
    <w:docPart>
      <w:docPartPr>
        <w:name w:val="{59551353-982f-42ca-a11e-ce52aba30f41}"/>
        <w:style w:val=""/>
        <w:category>
          <w:name w:val="常规"/>
          <w:gallery w:val="placeholder"/>
        </w:category>
        <w:types>
          <w:type w:val="bbPlcHdr"/>
        </w:types>
        <w:behaviors>
          <w:behavior w:val="content"/>
        </w:behaviors>
        <w:description w:val=""/>
        <w:guid w:val="{59551353-982f-42ca-a11e-ce52aba30f41}"/>
      </w:docPartPr>
      <w:docPartBody>
        <w:p>
          <w:r>
            <w:rPr>
              <w:color w:val="808080"/>
            </w:rPr>
            <w:t>单击此处输入文字。</w:t>
          </w:r>
        </w:p>
      </w:docPartBody>
    </w:docPart>
    <w:docPart>
      <w:docPartPr>
        <w:name w:val="{a453e1dd-ecb8-4f94-b0cc-087935932118}"/>
        <w:style w:val=""/>
        <w:category>
          <w:name w:val="常规"/>
          <w:gallery w:val="placeholder"/>
        </w:category>
        <w:types>
          <w:type w:val="bbPlcHdr"/>
        </w:types>
        <w:behaviors>
          <w:behavior w:val="content"/>
        </w:behaviors>
        <w:description w:val=""/>
        <w:guid w:val="{a453e1dd-ecb8-4f94-b0cc-087935932118}"/>
      </w:docPartPr>
      <w:docPartBody>
        <w:p>
          <w:r>
            <w:rPr>
              <w:color w:val="808080"/>
            </w:rPr>
            <w:t>单击此处输入文字。</w:t>
          </w:r>
        </w:p>
      </w:docPartBody>
    </w:docPart>
    <w:docPart>
      <w:docPartPr>
        <w:name w:val="{56ff4305-02c7-4bf8-8ff1-3da09974c020}"/>
        <w:style w:val=""/>
        <w:category>
          <w:name w:val="常规"/>
          <w:gallery w:val="placeholder"/>
        </w:category>
        <w:types>
          <w:type w:val="bbPlcHdr"/>
        </w:types>
        <w:behaviors>
          <w:behavior w:val="content"/>
        </w:behaviors>
        <w:description w:val=""/>
        <w:guid w:val="{56ff4305-02c7-4bf8-8ff1-3da09974c020}"/>
      </w:docPartPr>
      <w:docPartBody>
        <w:p>
          <w:r>
            <w:rPr>
              <w:color w:val="808080"/>
            </w:rPr>
            <w:t>单击此处输入文字。</w:t>
          </w:r>
        </w:p>
      </w:docPartBody>
    </w:docPart>
    <w:docPart>
      <w:docPartPr>
        <w:name w:val="{da6287fc-691e-45b3-ba4f-6b76bc1743f6}"/>
        <w:style w:val=""/>
        <w:category>
          <w:name w:val="常规"/>
          <w:gallery w:val="placeholder"/>
        </w:category>
        <w:types>
          <w:type w:val="bbPlcHdr"/>
        </w:types>
        <w:behaviors>
          <w:behavior w:val="content"/>
        </w:behaviors>
        <w:description w:val=""/>
        <w:guid w:val="{da6287fc-691e-45b3-ba4f-6b76bc1743f6}"/>
      </w:docPartPr>
      <w:docPartBody>
        <w:p>
          <w:r>
            <w:rPr>
              <w:color w:val="808080"/>
            </w:rPr>
            <w:t>单击此处输入文字。</w:t>
          </w:r>
        </w:p>
      </w:docPartBody>
    </w:docPart>
    <w:docPart>
      <w:docPartPr>
        <w:name w:val="{cd354e29-edac-4ded-8460-08afb271cd08}"/>
        <w:style w:val=""/>
        <w:category>
          <w:name w:val="常规"/>
          <w:gallery w:val="placeholder"/>
        </w:category>
        <w:types>
          <w:type w:val="bbPlcHdr"/>
        </w:types>
        <w:behaviors>
          <w:behavior w:val="content"/>
        </w:behaviors>
        <w:description w:val=""/>
        <w:guid w:val="{cd354e29-edac-4ded-8460-08afb271cd08}"/>
      </w:docPartPr>
      <w:docPartBody>
        <w:p>
          <w:r>
            <w:rPr>
              <w:color w:val="808080"/>
            </w:rPr>
            <w:t>单击此处输入文字。</w:t>
          </w:r>
        </w:p>
      </w:docPartBody>
    </w:docPart>
    <w:docPart>
      <w:docPartPr>
        <w:name w:val="{6f053731-884b-482b-87db-f211d761069a}"/>
        <w:style w:val=""/>
        <w:category>
          <w:name w:val="常规"/>
          <w:gallery w:val="placeholder"/>
        </w:category>
        <w:types>
          <w:type w:val="bbPlcHdr"/>
        </w:types>
        <w:behaviors>
          <w:behavior w:val="content"/>
        </w:behaviors>
        <w:description w:val=""/>
        <w:guid w:val="{6f053731-884b-482b-87db-f211d761069a}"/>
      </w:docPartPr>
      <w:docPartBody>
        <w:p>
          <w:r>
            <w:rPr>
              <w:color w:val="808080"/>
            </w:rPr>
            <w:t>单击此处输入文字。</w:t>
          </w:r>
        </w:p>
      </w:docPartBody>
    </w:docPart>
    <w:docPart>
      <w:docPartPr>
        <w:name w:val="{b4b6400b-06c4-41dc-95e3-91983f4be6f3}"/>
        <w:style w:val=""/>
        <w:category>
          <w:name w:val="常规"/>
          <w:gallery w:val="placeholder"/>
        </w:category>
        <w:types>
          <w:type w:val="bbPlcHdr"/>
        </w:types>
        <w:behaviors>
          <w:behavior w:val="content"/>
        </w:behaviors>
        <w:description w:val=""/>
        <w:guid w:val="{b4b6400b-06c4-41dc-95e3-91983f4be6f3}"/>
      </w:docPartPr>
      <w:docPartBody>
        <w:p>
          <w:r>
            <w:rPr>
              <w:color w:val="808080"/>
            </w:rPr>
            <w:t>单击此处输入文字。</w:t>
          </w:r>
        </w:p>
      </w:docPartBody>
    </w:docPart>
    <w:docPart>
      <w:docPartPr>
        <w:name w:val="{deefec51-2ce1-4e74-a661-a5cc68652678}"/>
        <w:style w:val=""/>
        <w:category>
          <w:name w:val="常规"/>
          <w:gallery w:val="placeholder"/>
        </w:category>
        <w:types>
          <w:type w:val="bbPlcHdr"/>
        </w:types>
        <w:behaviors>
          <w:behavior w:val="content"/>
        </w:behaviors>
        <w:description w:val=""/>
        <w:guid w:val="{deefec51-2ce1-4e74-a661-a5cc68652678}"/>
      </w:docPartPr>
      <w:docPartBody>
        <w:p>
          <w:r>
            <w:rPr>
              <w:color w:val="808080"/>
            </w:rPr>
            <w:t>单击此处输入文字。</w:t>
          </w:r>
        </w:p>
      </w:docPartBody>
    </w:docPart>
    <w:docPart>
      <w:docPartPr>
        <w:name w:val="{fc94eebf-dd44-42f2-a875-1faa5c8da3ed}"/>
        <w:style w:val=""/>
        <w:category>
          <w:name w:val="常规"/>
          <w:gallery w:val="placeholder"/>
        </w:category>
        <w:types>
          <w:type w:val="bbPlcHdr"/>
        </w:types>
        <w:behaviors>
          <w:behavior w:val="content"/>
        </w:behaviors>
        <w:description w:val=""/>
        <w:guid w:val="{fc94eebf-dd44-42f2-a875-1faa5c8da3ed}"/>
      </w:docPartPr>
      <w:docPartBody>
        <w:p>
          <w:r>
            <w:rPr>
              <w:color w:val="808080"/>
            </w:rPr>
            <w:t>单击此处输入文字。</w:t>
          </w:r>
        </w:p>
      </w:docPartBody>
    </w:docPart>
    <w:docPart>
      <w:docPartPr>
        <w:name w:val="{2ebf849e-1a05-45f0-b08d-2fd498cc26e5}"/>
        <w:style w:val=""/>
        <w:category>
          <w:name w:val="常规"/>
          <w:gallery w:val="placeholder"/>
        </w:category>
        <w:types>
          <w:type w:val="bbPlcHdr"/>
        </w:types>
        <w:behaviors>
          <w:behavior w:val="content"/>
        </w:behaviors>
        <w:description w:val=""/>
        <w:guid w:val="{2ebf849e-1a05-45f0-b08d-2fd498cc26e5}"/>
      </w:docPartPr>
      <w:docPartBody>
        <w:p>
          <w:r>
            <w:rPr>
              <w:color w:val="808080"/>
            </w:rPr>
            <w:t>单击此处输入文字。</w:t>
          </w:r>
        </w:p>
      </w:docPartBody>
    </w:docPart>
    <w:docPart>
      <w:docPartPr>
        <w:name w:val="{9e307e74-924e-4b04-915f-20cda5caf781}"/>
        <w:style w:val=""/>
        <w:category>
          <w:name w:val="常规"/>
          <w:gallery w:val="placeholder"/>
        </w:category>
        <w:types>
          <w:type w:val="bbPlcHdr"/>
        </w:types>
        <w:behaviors>
          <w:behavior w:val="content"/>
        </w:behaviors>
        <w:description w:val=""/>
        <w:guid w:val="{9e307e74-924e-4b04-915f-20cda5caf781}"/>
      </w:docPartPr>
      <w:docPartBody>
        <w:p>
          <w:r>
            <w:rPr>
              <w:color w:val="808080"/>
            </w:rPr>
            <w:t>单击此处输入文字。</w:t>
          </w:r>
        </w:p>
      </w:docPartBody>
    </w:docPart>
    <w:docPart>
      <w:docPartPr>
        <w:name w:val="{bb284234-b248-4b7f-a159-1e6c11899509}"/>
        <w:style w:val=""/>
        <w:category>
          <w:name w:val="常规"/>
          <w:gallery w:val="placeholder"/>
        </w:category>
        <w:types>
          <w:type w:val="bbPlcHdr"/>
        </w:types>
        <w:behaviors>
          <w:behavior w:val="content"/>
        </w:behaviors>
        <w:description w:val=""/>
        <w:guid w:val="{bb284234-b248-4b7f-a159-1e6c11899509}"/>
      </w:docPartPr>
      <w:docPartBody>
        <w:p>
          <w:r>
            <w:rPr>
              <w:color w:val="808080"/>
            </w:rPr>
            <w:t>单击此处输入文字。</w:t>
          </w:r>
        </w:p>
      </w:docPartBody>
    </w:docPart>
    <w:docPart>
      <w:docPartPr>
        <w:name w:val="{b9fcf113-009f-4f27-ab7f-806332eb861a}"/>
        <w:style w:val=""/>
        <w:category>
          <w:name w:val="常规"/>
          <w:gallery w:val="placeholder"/>
        </w:category>
        <w:types>
          <w:type w:val="bbPlcHdr"/>
        </w:types>
        <w:behaviors>
          <w:behavior w:val="content"/>
        </w:behaviors>
        <w:description w:val=""/>
        <w:guid w:val="{b9fcf113-009f-4f27-ab7f-806332eb861a}"/>
      </w:docPartPr>
      <w:docPartBody>
        <w:p>
          <w:r>
            <w:rPr>
              <w:color w:val="808080"/>
            </w:rPr>
            <w:t>单击此处输入文字。</w:t>
          </w:r>
        </w:p>
      </w:docPartBody>
    </w:docPart>
    <w:docPart>
      <w:docPartPr>
        <w:name w:val="{2cb29e90-0dc3-4074-97f1-2eecdd429801}"/>
        <w:style w:val=""/>
        <w:category>
          <w:name w:val="常规"/>
          <w:gallery w:val="placeholder"/>
        </w:category>
        <w:types>
          <w:type w:val="bbPlcHdr"/>
        </w:types>
        <w:behaviors>
          <w:behavior w:val="content"/>
        </w:behaviors>
        <w:description w:val=""/>
        <w:guid w:val="{2cb29e90-0dc3-4074-97f1-2eecdd429801}"/>
      </w:docPartPr>
      <w:docPartBody>
        <w:p>
          <w:r>
            <w:rPr>
              <w:color w:val="808080"/>
            </w:rPr>
            <w:t>单击此处输入文字。</w:t>
          </w:r>
        </w:p>
      </w:docPartBody>
    </w:docPart>
    <w:docPart>
      <w:docPartPr>
        <w:name w:val="{a061f685-5b59-4835-a475-83bf469b0bbd}"/>
        <w:style w:val=""/>
        <w:category>
          <w:name w:val="常规"/>
          <w:gallery w:val="placeholder"/>
        </w:category>
        <w:types>
          <w:type w:val="bbPlcHdr"/>
        </w:types>
        <w:behaviors>
          <w:behavior w:val="content"/>
        </w:behaviors>
        <w:description w:val=""/>
        <w:guid w:val="{a061f685-5b59-4835-a475-83bf469b0bbd}"/>
      </w:docPartPr>
      <w:docPartBody>
        <w:p>
          <w:r>
            <w:rPr>
              <w:color w:val="808080"/>
            </w:rPr>
            <w:t>单击此处输入文字。</w:t>
          </w:r>
        </w:p>
      </w:docPartBody>
    </w:docPart>
    <w:docPart>
      <w:docPartPr>
        <w:name w:val="{4b9eff46-dc7d-4fe7-9bd2-b4242112e970}"/>
        <w:style w:val=""/>
        <w:category>
          <w:name w:val="常规"/>
          <w:gallery w:val="placeholder"/>
        </w:category>
        <w:types>
          <w:type w:val="bbPlcHdr"/>
        </w:types>
        <w:behaviors>
          <w:behavior w:val="content"/>
        </w:behaviors>
        <w:description w:val=""/>
        <w:guid w:val="{4b9eff46-dc7d-4fe7-9bd2-b4242112e970}"/>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2958DC-EAF5-430E-8DC1-BDFBEDD8AF83}">
  <ds:schemaRefs/>
</ds:datastoreItem>
</file>

<file path=docProps/app.xml><?xml version="1.0" encoding="utf-8"?>
<Properties xmlns="http://schemas.openxmlformats.org/officeDocument/2006/extended-properties" xmlns:vt="http://schemas.openxmlformats.org/officeDocument/2006/docPropsVTypes">
  <Template>Normal.dotm</Template>
  <Pages>15</Pages>
  <Words>6593</Words>
  <Characters>7258</Characters>
  <Lines>48</Lines>
  <Paragraphs>13</Paragraphs>
  <TotalTime>8</TotalTime>
  <ScaleCrop>false</ScaleCrop>
  <LinksUpToDate>false</LinksUpToDate>
  <CharactersWithSpaces>7667</CharactersWithSpaces>
  <Application>WPS Office_11.1.0.7748_F1E327BC-269C-435d-A152-05C5408002CA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2018-08-10T05:54:00Z</dcterms:created>
  <dc:creator>xinhj</dc:creator>
  <cp:lastModifiedBy>??</cp:lastModifiedBy>
  <dcterms:modified xsi:type="dcterms:W3CDTF">2018-08-11T05:38:56Z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2052-11.1.0.7748</vt:lpwstr>
  </property>
</Properties>
</file>